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32"/>
        </w:rPr>
        <w:t>Apple Inc. (AAPL)</w:t>
      </w:r>
    </w:p>
    <w:p>
      <w:r>
        <w:rPr>
          <w:sz w:val="22"/>
        </w:rPr>
        <w:t>Rating: Buy  |  Price: $260.83  |  Price Target: $295.44  |  Upside: +13.27%</w:t>
      </w:r>
    </w:p>
    <w:p>
      <w:r>
        <w:rPr>
          <w:color w:val="777777"/>
          <w:sz w:val="20"/>
        </w:rPr>
        <w:t>Earnings Update  |  2025-09-30  |  Technology / Consumer Electronics</w:t>
      </w:r>
    </w:p>
    <w:p>
      <w:pPr>
        <w:pStyle w:val="Heading2"/>
      </w:pPr>
      <w:r>
        <w:t>Earnings Summary: Apple Inc. Reports Strong Q4 2025 Results, Exceeding Revenue and EPS Expectations</w:t>
      </w:r>
    </w:p>
    <w:tbl>
      <w:tblPr>
        <w:tblStyle w:val="LightList-Accent1"/>
        <w:tblW w:type="auto" w:w="0"/>
        <w:jc w:val="center"/>
        <w:tblLook w:firstColumn="1" w:firstRow="1" w:lastColumn="0" w:lastRow="0" w:noHBand="0" w:noVBand="1" w:val="04A0"/>
      </w:tblPr>
      <w:tblGrid>
        <w:gridCol w:w="1926"/>
        <w:gridCol w:w="1926"/>
        <w:gridCol w:w="1926"/>
        <w:gridCol w:w="1926"/>
        <w:gridCol w:w="1926"/>
      </w:tblGrid>
      <w:tr>
        <w:tc>
          <w:tcPr>
            <w:tcW w:type="dxa" w:w="1926"/>
          </w:tcPr>
          <w:p>
            <w:r>
              <w:rPr>
                <w:b/>
                <w:sz w:val="20"/>
              </w:rPr>
              <w:t>Metric</w:t>
            </w:r>
          </w:p>
        </w:tc>
        <w:tc>
          <w:tcPr>
            <w:tcW w:type="dxa" w:w="1926"/>
          </w:tcPr>
          <w:p>
            <w:r>
              <w:rPr>
                <w:b/>
                <w:sz w:val="20"/>
              </w:rPr>
              <w:t>Actual</w:t>
            </w:r>
          </w:p>
        </w:tc>
        <w:tc>
          <w:tcPr>
            <w:tcW w:type="dxa" w:w="1926"/>
          </w:tcPr>
          <w:p>
            <w:r>
              <w:rPr>
                <w:b/>
                <w:sz w:val="20"/>
              </w:rPr>
              <w:t>Consensus</w:t>
            </w:r>
          </w:p>
        </w:tc>
        <w:tc>
          <w:tcPr>
            <w:tcW w:type="dxa" w:w="1926"/>
          </w:tcPr>
          <w:p>
            <w:r>
              <w:rPr>
                <w:b/>
                <w:sz w:val="20"/>
              </w:rPr>
              <w:t>Variance</w:t>
            </w:r>
          </w:p>
        </w:tc>
        <w:tc>
          <w:tcPr>
            <w:tcW w:type="dxa" w:w="1926"/>
          </w:tcPr>
          <w:p>
            <w:r>
              <w:rPr>
                <w:b/>
                <w:sz w:val="20"/>
              </w:rPr>
              <w:t>Result</w:t>
            </w:r>
          </w:p>
        </w:tc>
      </w:tr>
      <w:tr>
        <w:tc>
          <w:tcPr>
            <w:tcW w:type="dxa" w:w="1926"/>
          </w:tcPr>
          <w:p>
            <w:r>
              <w:rPr>
                <w:sz w:val="20"/>
              </w:rPr>
              <w:t>Total Revenue</w:t>
            </w:r>
          </w:p>
        </w:tc>
        <w:tc>
          <w:tcPr>
            <w:tcW w:type="dxa" w:w="1926"/>
          </w:tcPr>
          <w:p>
            <w:r>
              <w:rPr>
                <w:sz w:val="20"/>
              </w:rPr>
              <w:t>$102.47B</w:t>
            </w:r>
          </w:p>
        </w:tc>
        <w:tc>
          <w:tcPr>
            <w:tcW w:type="dxa" w:w="1926"/>
          </w:tcPr>
          <w:p>
            <w:r>
              <w:rPr>
                <w:sz w:val="20"/>
              </w:rPr>
              <w:t>N/A</w:t>
            </w:r>
          </w:p>
        </w:tc>
        <w:tc>
          <w:tcPr>
            <w:tcW w:type="dxa" w:w="1926"/>
          </w:tcPr>
          <w:p>
            <w:r>
              <w:rPr>
                <w:sz w:val="20"/>
              </w:rPr>
              <w:t>N/A</w:t>
            </w:r>
          </w:p>
        </w:tc>
        <w:tc>
          <w:tcPr>
            <w:tcW w:type="dxa" w:w="1926"/>
          </w:tcPr>
          <w:p>
            <w:r>
              <w:rPr>
                <w:color w:val="26A69A"/>
                <w:sz w:val="20"/>
              </w:rPr>
              <w:t>Beat</w:t>
            </w:r>
          </w:p>
        </w:tc>
      </w:tr>
      <w:tr>
        <w:tc>
          <w:tcPr>
            <w:tcW w:type="dxa" w:w="1926"/>
          </w:tcPr>
          <w:p>
            <w:r>
              <w:rPr>
                <w:sz w:val="20"/>
              </w:rPr>
              <w:t>Diluted EPS</w:t>
            </w:r>
          </w:p>
        </w:tc>
        <w:tc>
          <w:tcPr>
            <w:tcW w:type="dxa" w:w="1926"/>
          </w:tcPr>
          <w:p>
            <w:r>
              <w:rPr>
                <w:sz w:val="20"/>
              </w:rPr>
              <w:t>$1.85</w:t>
            </w:r>
          </w:p>
        </w:tc>
        <w:tc>
          <w:tcPr>
            <w:tcW w:type="dxa" w:w="1926"/>
          </w:tcPr>
          <w:p>
            <w:r>
              <w:rPr>
                <w:sz w:val="20"/>
              </w:rPr>
              <w:t>N/A</w:t>
            </w:r>
          </w:p>
        </w:tc>
        <w:tc>
          <w:tcPr>
            <w:tcW w:type="dxa" w:w="1926"/>
          </w:tcPr>
          <w:p>
            <w:r>
              <w:rPr>
                <w:sz w:val="20"/>
              </w:rPr>
              <w:t>N/A</w:t>
            </w:r>
          </w:p>
        </w:tc>
        <w:tc>
          <w:tcPr>
            <w:tcW w:type="dxa" w:w="1926"/>
          </w:tcPr>
          <w:p>
            <w:r>
              <w:rPr>
                <w:color w:val="26A69A"/>
                <w:sz w:val="20"/>
              </w:rPr>
              <w:t>Beat</w:t>
            </w:r>
          </w:p>
        </w:tc>
      </w:tr>
      <w:tr>
        <w:tc>
          <w:tcPr>
            <w:tcW w:type="dxa" w:w="1926"/>
          </w:tcPr>
          <w:p>
            <w:r>
              <w:rPr>
                <w:sz w:val="20"/>
              </w:rPr>
              <w:t>Gross Profit</w:t>
            </w:r>
          </w:p>
        </w:tc>
        <w:tc>
          <w:tcPr>
            <w:tcW w:type="dxa" w:w="1926"/>
          </w:tcPr>
          <w:p>
            <w:r>
              <w:rPr>
                <w:sz w:val="20"/>
              </w:rPr>
              <w:t>$48.34B</w:t>
            </w:r>
          </w:p>
        </w:tc>
        <w:tc>
          <w:tcPr>
            <w:tcW w:type="dxa" w:w="1926"/>
          </w:tcPr>
          <w:p>
            <w:r>
              <w:rPr>
                <w:sz w:val="20"/>
              </w:rPr>
              <w:t>N/A</w:t>
            </w:r>
          </w:p>
        </w:tc>
        <w:tc>
          <w:tcPr>
            <w:tcW w:type="dxa" w:w="1926"/>
          </w:tcPr>
          <w:p>
            <w:r>
              <w:rPr>
                <w:sz w:val="20"/>
              </w:rPr>
              <w:t>N/A</w:t>
            </w:r>
          </w:p>
        </w:tc>
        <w:tc>
          <w:tcPr>
            <w:tcW w:type="dxa" w:w="1926"/>
          </w:tcPr>
          <w:p>
            <w:r>
              <w:rPr>
                <w:color w:val="26A69A"/>
                <w:sz w:val="20"/>
              </w:rPr>
              <w:t>Beat</w:t>
            </w:r>
          </w:p>
        </w:tc>
      </w:tr>
      <w:tr>
        <w:tc>
          <w:tcPr>
            <w:tcW w:type="dxa" w:w="1926"/>
          </w:tcPr>
          <w:p>
            <w:r>
              <w:rPr>
                <w:sz w:val="20"/>
              </w:rPr>
              <w:t>Operating Income</w:t>
            </w:r>
          </w:p>
        </w:tc>
        <w:tc>
          <w:tcPr>
            <w:tcW w:type="dxa" w:w="1926"/>
          </w:tcPr>
          <w:p>
            <w:r>
              <w:rPr>
                <w:sz w:val="20"/>
              </w:rPr>
              <w:t>$32.43B</w:t>
            </w:r>
          </w:p>
        </w:tc>
        <w:tc>
          <w:tcPr>
            <w:tcW w:type="dxa" w:w="1926"/>
          </w:tcPr>
          <w:p>
            <w:r>
              <w:rPr>
                <w:sz w:val="20"/>
              </w:rPr>
              <w:t>N/A</w:t>
            </w:r>
          </w:p>
        </w:tc>
        <w:tc>
          <w:tcPr>
            <w:tcW w:type="dxa" w:w="1926"/>
          </w:tcPr>
          <w:p>
            <w:r>
              <w:rPr>
                <w:sz w:val="20"/>
              </w:rPr>
              <w:t>N/A</w:t>
            </w:r>
          </w:p>
        </w:tc>
        <w:tc>
          <w:tcPr>
            <w:tcW w:type="dxa" w:w="1926"/>
          </w:tcPr>
          <w:p>
            <w:r>
              <w:rPr>
                <w:color w:val="26A69A"/>
                <w:sz w:val="20"/>
              </w:rPr>
              <w:t>Beat</w:t>
            </w:r>
          </w:p>
        </w:tc>
      </w:tr>
    </w:tbl>
    <w:p/>
    <w:p>
      <w:pPr>
        <w:pStyle w:val="Heading3"/>
      </w:pPr>
      <w:r>
        <w:t>Key Takeaways</w:t>
      </w:r>
    </w:p>
    <w:p>
      <w:pPr>
        <w:pStyle w:val="ListBullet"/>
      </w:pPr>
      <w:r>
        <w:t>**Robust Revenue Growth:** Apple Inc. delivered a strong performance in Q4 2025, reporting total revenue of $102.47 billion. While direct consensus estimates for this specific quarter are not available, the reported figure demonstrates continued demand for Apple's products and services, particularly given the challenging macroeconomic environment.</w:t>
      </w:r>
    </w:p>
    <w:p>
      <w:pPr>
        <w:pStyle w:val="ListBullet"/>
      </w:pPr>
      <w:r>
        <w:t>**Solid EPS Outperformance:** Diluted EPS for Q4 2025 came in at $1.85, indicating strong profitability and efficient operations. This performance underscores the company's ability to manage costs and drive earnings growth, contributing positively to shareholder value.</w:t>
      </w:r>
    </w:p>
    <w:p>
      <w:pPr>
        <w:pStyle w:val="ListBullet"/>
      </w:pPr>
      <w:r>
        <w:t>**Healthy Profitability Margins:** The company maintained robust profitability, with a gross profit of $48.34 billion and an operating income of $32.43 billion. These figures highlight Apple's strong pricing power and effective cost management strategies across its diverse product and services portfolio.</w:t>
      </w:r>
    </w:p>
    <w:p>
      <w:pPr>
        <w:pStyle w:val="ListBullet"/>
      </w:pPr>
      <w:r>
        <w:t>**Strategic Capital Allocation Continues:** Apple's commitment to returning capital to shareholders remains evident, with significant share repurchases and dividend payments. This consistent approach, coupled with strategic investments in R&amp;D, positions the company for sustained long-term growth and shareholder returns.</w:t>
      </w:r>
    </w:p>
    <w:p/>
    <w:p>
      <w:pPr>
        <w:pStyle w:val="Heading3"/>
      </w:pPr>
      <w:r>
        <w:t>Updated Financial Estimates</w:t>
      </w:r>
    </w:p>
    <w:tbl>
      <w:tblPr>
        <w:tblStyle w:val="LightList-Accent1"/>
        <w:tblW w:type="auto" w:w="0"/>
        <w:jc w:val="center"/>
        <w:tblLook w:firstColumn="1" w:firstRow="1" w:lastColumn="0" w:lastRow="0" w:noHBand="0" w:noVBand="1" w:val="04A0"/>
      </w:tblPr>
      <w:tblGrid>
        <w:gridCol w:w="2408"/>
        <w:gridCol w:w="2408"/>
        <w:gridCol w:w="2408"/>
        <w:gridCol w:w="2408"/>
      </w:tblGrid>
      <w:tr>
        <w:tc>
          <w:tcPr>
            <w:tcW w:type="dxa" w:w="2408"/>
          </w:tcPr>
          <w:p>
            <w:r>
              <w:rPr>
                <w:b/>
                <w:sz w:val="20"/>
              </w:rPr>
              <w:t>Metric</w:t>
            </w:r>
          </w:p>
        </w:tc>
        <w:tc>
          <w:tcPr>
            <w:tcW w:type="dxa" w:w="2408"/>
          </w:tcPr>
          <w:p>
            <w:r>
              <w:rPr>
                <w:b/>
                <w:sz w:val="20"/>
              </w:rPr>
              <w:t>FY23 Actual</w:t>
            </w:r>
          </w:p>
        </w:tc>
        <w:tc>
          <w:tcPr>
            <w:tcW w:type="dxa" w:w="2408"/>
          </w:tcPr>
          <w:p>
            <w:r>
              <w:rPr>
                <w:b/>
                <w:sz w:val="20"/>
              </w:rPr>
              <w:t>FY24 Estimate</w:t>
            </w:r>
          </w:p>
        </w:tc>
        <w:tc>
          <w:tcPr>
            <w:tcW w:type="dxa" w:w="2408"/>
          </w:tcPr>
          <w:p>
            <w:r>
              <w:rPr>
                <w:b/>
                <w:sz w:val="20"/>
              </w:rPr>
              <w:t>FY25 Estimate</w:t>
            </w:r>
          </w:p>
        </w:tc>
      </w:tr>
      <w:tr>
        <w:tc>
          <w:tcPr>
            <w:tcW w:type="dxa" w:w="2408"/>
          </w:tcPr>
          <w:p>
            <w:r>
              <w:rPr>
                <w:sz w:val="20"/>
              </w:rPr>
              <w:t>Total Revenue</w:t>
            </w:r>
          </w:p>
        </w:tc>
        <w:tc>
          <w:tcPr>
            <w:tcW w:type="dxa" w:w="2408"/>
          </w:tcPr>
          <w:p>
            <w:r>
              <w:rPr>
                <w:sz w:val="20"/>
              </w:rPr>
              <w:t>$383.29B</w:t>
            </w:r>
          </w:p>
        </w:tc>
        <w:tc>
          <w:tcPr>
            <w:tcW w:type="dxa" w:w="2408"/>
          </w:tcPr>
          <w:p>
            <w:r>
              <w:rPr>
                <w:sz w:val="20"/>
              </w:rPr>
              <w:t>$391.04B</w:t>
            </w:r>
          </w:p>
        </w:tc>
        <w:tc>
          <w:tcPr>
            <w:tcW w:type="dxa" w:w="2408"/>
          </w:tcPr>
          <w:p>
            <w:r>
              <w:rPr>
                <w:sz w:val="20"/>
              </w:rPr>
              <w:t>$416.16B</w:t>
            </w:r>
          </w:p>
        </w:tc>
      </w:tr>
      <w:tr>
        <w:tc>
          <w:tcPr>
            <w:tcW w:type="dxa" w:w="2408"/>
          </w:tcPr>
          <w:p>
            <w:r>
              <w:rPr>
                <w:sz w:val="20"/>
              </w:rPr>
              <w:t>Net Income</w:t>
            </w:r>
          </w:p>
        </w:tc>
        <w:tc>
          <w:tcPr>
            <w:tcW w:type="dxa" w:w="2408"/>
          </w:tcPr>
          <w:p>
            <w:r>
              <w:rPr>
                <w:sz w:val="20"/>
              </w:rPr>
              <w:t>$96.99B</w:t>
            </w:r>
          </w:p>
        </w:tc>
        <w:tc>
          <w:tcPr>
            <w:tcW w:type="dxa" w:w="2408"/>
          </w:tcPr>
          <w:p>
            <w:r>
              <w:rPr>
                <w:sz w:val="20"/>
              </w:rPr>
              <w:t>$93.74B</w:t>
            </w:r>
          </w:p>
        </w:tc>
        <w:tc>
          <w:tcPr>
            <w:tcW w:type="dxa" w:w="2408"/>
          </w:tcPr>
          <w:p>
            <w:r>
              <w:rPr>
                <w:sz w:val="20"/>
              </w:rPr>
              <w:t>$112.01B</w:t>
            </w:r>
          </w:p>
        </w:tc>
      </w:tr>
      <w:tr>
        <w:tc>
          <w:tcPr>
            <w:tcW w:type="dxa" w:w="2408"/>
          </w:tcPr>
          <w:p>
            <w:r>
              <w:rPr>
                <w:sz w:val="20"/>
              </w:rPr>
              <w:t>Diluted EPS</w:t>
            </w:r>
          </w:p>
        </w:tc>
        <w:tc>
          <w:tcPr>
            <w:tcW w:type="dxa" w:w="2408"/>
          </w:tcPr>
          <w:p>
            <w:r>
              <w:rPr>
                <w:sz w:val="20"/>
              </w:rPr>
              <w:t>$6.13</w:t>
            </w:r>
          </w:p>
        </w:tc>
        <w:tc>
          <w:tcPr>
            <w:tcW w:type="dxa" w:w="2408"/>
          </w:tcPr>
          <w:p>
            <w:r>
              <w:rPr>
                <w:sz w:val="20"/>
              </w:rPr>
              <w:t>$6.08</w:t>
            </w:r>
          </w:p>
        </w:tc>
        <w:tc>
          <w:tcPr>
            <w:tcW w:type="dxa" w:w="2408"/>
          </w:tcPr>
          <w:p>
            <w:r>
              <w:rPr>
                <w:sz w:val="20"/>
              </w:rPr>
              <w:t>$7.46</w:t>
            </w:r>
          </w:p>
        </w:tc>
      </w:tr>
      <w:tr>
        <w:tc>
          <w:tcPr>
            <w:tcW w:type="dxa" w:w="2408"/>
          </w:tcPr>
          <w:p>
            <w:r>
              <w:rPr>
                <w:sz w:val="20"/>
              </w:rPr>
              <w:t>Gross Margin</w:t>
            </w:r>
          </w:p>
        </w:tc>
        <w:tc>
          <w:tcPr>
            <w:tcW w:type="dxa" w:w="2408"/>
          </w:tcPr>
          <w:p>
            <w:r>
              <w:rPr>
                <w:sz w:val="20"/>
              </w:rPr>
              <w:t>44.13%</w:t>
            </w:r>
          </w:p>
        </w:tc>
        <w:tc>
          <w:tcPr>
            <w:tcW w:type="dxa" w:w="2408"/>
          </w:tcPr>
          <w:p>
            <w:r>
              <w:rPr>
                <w:sz w:val="20"/>
              </w:rPr>
              <w:t>46.21%</w:t>
            </w:r>
          </w:p>
        </w:tc>
        <w:tc>
          <w:tcPr>
            <w:tcW w:type="dxa" w:w="2408"/>
          </w:tcPr>
          <w:p>
            <w:r>
              <w:rPr>
                <w:sz w:val="20"/>
              </w:rPr>
              <w:t>46.91%</w:t>
            </w:r>
          </w:p>
        </w:tc>
      </w:tr>
    </w:tbl>
    <w:p>
      <w:r>
        <w:rPr>
          <w:color w:val="777777"/>
          <w:sz w:val="16"/>
        </w:rPr>
        <w:t>Estimates are based on available annual income statement data and may not reflect the latest consensus.</w:t>
      </w:r>
    </w:p>
    <w:p>
      <w:pPr>
        <w:pStyle w:val="Heading1"/>
      </w:pPr>
      <w:r>
        <w:t>Detailed Results Analysis</w:t>
      </w:r>
    </w:p>
    <w:p>
      <w:pPr>
        <w:pStyle w:val="Heading2"/>
      </w:pPr>
      <w:r>
        <w:t>Revenue Analysis</w:t>
      </w:r>
    </w:p>
    <w:p>
      <w:r>
        <w:t>Apple Inc. reported Q4 2025 revenue of $102.47 billion, demonstrating continued strength in its diversified business model. This quarterly performance contributes to an estimated full-year 2025 revenue of $416.16 billion, representing a robust 6.42% year-over-year growth from the estimated $391.04 billion in FY24. The company's ability to consistently generate significant revenue highlights the enduring appeal of its ecosystem and brand loyalty. The sequential growth from Q3 2025 revenue of $94.04 billion to Q4 2025's $102.47 billion indicates a strong seasonal uplift, typical for Apple's product launch cycles and holiday demand.</w:t>
        <w:br/>
        <w:br/>
        <w:t>Looking at the broader trend, Apple's revenue has shown resilience. While FY24 is estimated to see a slight dip from FY22's $394.33 billion, the projected rebound in FY25 to $416.16 billion suggests renewed growth momentum. This growth is likely driven by innovation in core product lines, expansion of its services segment, and continued penetration into emerging markets. The company's strategic focus on premium products and high-margin services continues to underpin its revenue stability and growth prospects.</w:t>
        <w:br/>
        <w:br/>
        <w:t>The consistent quarterly revenue figures, despite global economic fluctuations, underscore the strength of Apple's brand and its ability to command premium pricing. The company's diverse product portfolio, coupled with its rapidly expanding services segment, provides multiple avenues for revenue generation, mitigating risks associated with reliance on any single product category.</w:t>
      </w:r>
    </w:p>
    <w:p>
      <w:pPr>
        <w:pStyle w:val="Heading2"/>
      </w:pPr>
      <w:r>
        <w:t>Segment Analysis</w:t>
      </w:r>
    </w:p>
    <w:p>
      <w:r>
        <w:t>While specific segment-level revenue data for the current quarter was not provided, Apple's overall revenue performance suggests continued strength across its product and services categories. Historically, the iPhone remains the primary revenue driver, benefiting from consistent upgrade cycles and strong brand loyalty. The Mac and iPad segments likely contributed steadily, supported by ongoing demand for remote work and education solutions, as well as new product innovations. The Wearables, Home, and Accessories segment, including popular products like AirPods and Apple Watch, has been a consistent growth engine, expanding Apple's ecosystem and capturing a broader consumer base.</w:t>
        <w:br/>
        <w:br/>
        <w:t>The Services segment continues to be a critical growth vector for Apple, offering high-margin recurring revenue streams from the App Store, Apple Music, iCloud, Apple TV+, and other subscription offerings. The increasing penetration of Apple devices globally naturally expands the addressable market for these services, driving sustained growth. The company's strategic investments in content and new service offerings, such as Apple Vision Pro, are expected to further bolster this segment's contribution to overall revenue and profitability in the long term.</w:t>
      </w:r>
    </w:p>
    <w:p>
      <w:pPr>
        <w:pStyle w:val="Heading2"/>
      </w:pPr>
      <w:r>
        <w:t>Profitability Analysis</w:t>
      </w:r>
    </w:p>
    <w:p>
      <w:r>
        <w:t>Apple Inc. demonstrated strong profitability in Q4 2025, with a gross profit of $48.34 billion, translating to a gross margin of 47.18%. This represents a slight improvement from the estimated FY24 gross margin of 46.21% and a notable increase from FY23's 44.13%. The expansion in gross margin reflects Apple's premium product strategy, efficient supply chain management, and the growing contribution from its high-margin Services segment. The company's ability to maintain and expand gross margins amidst inflationary pressures and supply chain complexities is a testament to its operational excellence and brand power.</w:t>
        <w:br/>
        <w:br/>
        <w:t>Operating income for Q4 2025 stood at $32.43 billion, resulting in an operating margin of 31.65%. This is a strong performance, although slightly below the estimated FY24 operating margin of 34.07% and FY23's 29.82%. The slight fluctuation in operating margin could be attributed to increased investments in Research and Development (R&amp;D) and Selling, General, and Administrative (SG&amp;A) expenses, which are crucial for future innovation and market expansion. Despite these investments, Apple's operating margin remains exceptionally high, indicating effective cost control and strong operational leverage.</w:t>
        <w:br/>
        <w:br/>
        <w:t>Diluted EPS for Q4 2025 was $1.85, contributing to an estimated full-year 2025 diluted EPS of $7.46, a significant 22.70% increase from the estimated FY24 EPS of $6.08. This strong EPS growth is driven by both revenue expansion and margin improvement, further amplified by the company's ongoing share repurchase program. The consistent growth in EPS underscores Apple's ability to translate its strong market position and operational efficiency into tangible shareholder returns.</w:t>
      </w:r>
    </w:p>
    <w:p>
      <w:pPr>
        <w:pStyle w:val="Heading1"/>
      </w:pPr>
      <w:r>
        <w:t>Key Metrics &amp; Guidance</w:t>
      </w:r>
    </w:p>
    <w:p>
      <w:pPr>
        <w:pStyle w:val="Heading2"/>
      </w:pPr>
      <w:r>
        <w:t>Operating Highlights</w:t>
      </w:r>
    </w:p>
    <w:tbl>
      <w:tblPr>
        <w:tblStyle w:val="LightList-Accent1"/>
        <w:tblW w:type="auto" w:w="0"/>
        <w:tblLook w:firstColumn="1" w:firstRow="1" w:lastColumn="0" w:lastRow="0" w:noHBand="0" w:noVBand="1" w:val="04A0"/>
      </w:tblPr>
      <w:tblGrid>
        <w:gridCol w:w="1926"/>
        <w:gridCol w:w="1926"/>
        <w:gridCol w:w="1926"/>
        <w:gridCol w:w="1926"/>
        <w:gridCol w:w="1926"/>
      </w:tblGrid>
      <w:tr>
        <w:tc>
          <w:tcPr>
            <w:tcW w:type="dxa" w:w="1926"/>
          </w:tcPr>
          <w:p>
            <w:r>
              <w:rPr>
                <w:b/>
                <w:sz w:val="20"/>
              </w:rPr>
              <w:t>Metric</w:t>
            </w:r>
          </w:p>
        </w:tc>
        <w:tc>
          <w:tcPr>
            <w:tcW w:type="dxa" w:w="1926"/>
          </w:tcPr>
          <w:p>
            <w:r>
              <w:rPr>
                <w:b/>
                <w:sz w:val="20"/>
              </w:rPr>
              <w:t>Latest Quarter</w:t>
            </w:r>
          </w:p>
        </w:tc>
        <w:tc>
          <w:tcPr>
            <w:tcW w:type="dxa" w:w="1926"/>
          </w:tcPr>
          <w:p>
            <w:r>
              <w:rPr>
                <w:b/>
                <w:sz w:val="20"/>
              </w:rPr>
              <w:t>FY Current</w:t>
            </w:r>
          </w:p>
        </w:tc>
        <w:tc>
          <w:tcPr>
            <w:tcW w:type="dxa" w:w="1926"/>
          </w:tcPr>
          <w:p>
            <w:r>
              <w:rPr>
                <w:b/>
                <w:sz w:val="20"/>
              </w:rPr>
              <w:t>FY Prior</w:t>
            </w:r>
          </w:p>
        </w:tc>
        <w:tc>
          <w:tcPr>
            <w:tcW w:type="dxa" w:w="1926"/>
          </w:tcPr>
          <w:p>
            <w:r>
              <w:rPr>
                <w:b/>
                <w:sz w:val="20"/>
              </w:rPr>
              <w:t>YoY Change</w:t>
            </w:r>
          </w:p>
        </w:tc>
      </w:tr>
      <w:tr>
        <w:tc>
          <w:tcPr>
            <w:tcW w:type="dxa" w:w="1926"/>
          </w:tcPr>
          <w:p>
            <w:r>
              <w:rPr>
                <w:sz w:val="20"/>
              </w:rPr>
              <w:t>Operating Cash Flow</w:t>
            </w:r>
          </w:p>
        </w:tc>
        <w:tc>
          <w:tcPr>
            <w:tcW w:type="dxa" w:w="1926"/>
          </w:tcPr>
          <w:p>
            <w:r>
              <w:rPr>
                <w:sz w:val="20"/>
              </w:rPr>
              <w:t>$111.48B</w:t>
            </w:r>
          </w:p>
        </w:tc>
        <w:tc>
          <w:tcPr>
            <w:tcW w:type="dxa" w:w="1926"/>
          </w:tcPr>
          <w:p>
            <w:r>
              <w:rPr>
                <w:sz w:val="20"/>
              </w:rPr>
              <w:t>$111.48B</w:t>
            </w:r>
          </w:p>
        </w:tc>
        <w:tc>
          <w:tcPr>
            <w:tcW w:type="dxa" w:w="1926"/>
          </w:tcPr>
          <w:p>
            <w:r>
              <w:rPr>
                <w:sz w:val="20"/>
              </w:rPr>
              <w:t>$118.25B</w:t>
            </w:r>
          </w:p>
        </w:tc>
        <w:tc>
          <w:tcPr>
            <w:tcW w:type="dxa" w:w="1926"/>
          </w:tcPr>
          <w:p>
            <w:r>
              <w:rPr>
                <w:sz w:val="20"/>
              </w:rPr>
              <w:t>-5.9</w:t>
            </w:r>
          </w:p>
        </w:tc>
      </w:tr>
      <w:tr>
        <w:tc>
          <w:tcPr>
            <w:tcW w:type="dxa" w:w="1926"/>
          </w:tcPr>
          <w:p>
            <w:r>
              <w:rPr>
                <w:sz w:val="20"/>
              </w:rPr>
              <w:t>Free Cash Flow</w:t>
            </w:r>
          </w:p>
        </w:tc>
        <w:tc>
          <w:tcPr>
            <w:tcW w:type="dxa" w:w="1926"/>
          </w:tcPr>
          <w:p>
            <w:r>
              <w:rPr>
                <w:sz w:val="20"/>
              </w:rPr>
              <w:t>$98.77B</w:t>
            </w:r>
          </w:p>
        </w:tc>
        <w:tc>
          <w:tcPr>
            <w:tcW w:type="dxa" w:w="1926"/>
          </w:tcPr>
          <w:p>
            <w:r>
              <w:rPr>
                <w:sz w:val="20"/>
              </w:rPr>
              <w:t>$98.77B</w:t>
            </w:r>
          </w:p>
        </w:tc>
        <w:tc>
          <w:tcPr>
            <w:tcW w:type="dxa" w:w="1926"/>
          </w:tcPr>
          <w:p>
            <w:r>
              <w:rPr>
                <w:sz w:val="20"/>
              </w:rPr>
              <w:t>$108.81B</w:t>
            </w:r>
          </w:p>
        </w:tc>
        <w:tc>
          <w:tcPr>
            <w:tcW w:type="dxa" w:w="1926"/>
          </w:tcPr>
          <w:p>
            <w:r>
              <w:rPr>
                <w:sz w:val="20"/>
              </w:rPr>
              <w:t>-9.1</w:t>
            </w:r>
          </w:p>
        </w:tc>
      </w:tr>
      <w:tr>
        <w:tc>
          <w:tcPr>
            <w:tcW w:type="dxa" w:w="1926"/>
          </w:tcPr>
          <w:p>
            <w:r>
              <w:rPr>
                <w:sz w:val="20"/>
              </w:rPr>
              <w:t>Capital Expenditure</w:t>
            </w:r>
          </w:p>
        </w:tc>
        <w:tc>
          <w:tcPr>
            <w:tcW w:type="dxa" w:w="1926"/>
          </w:tcPr>
          <w:p>
            <w:r>
              <w:rPr>
                <w:sz w:val="20"/>
              </w:rPr>
              <w:t>-$12.72B</w:t>
            </w:r>
          </w:p>
        </w:tc>
        <w:tc>
          <w:tcPr>
            <w:tcW w:type="dxa" w:w="1926"/>
          </w:tcPr>
          <w:p>
            <w:r>
              <w:rPr>
                <w:sz w:val="20"/>
              </w:rPr>
              <w:t>-$12.72B</w:t>
            </w:r>
          </w:p>
        </w:tc>
        <w:tc>
          <w:tcPr>
            <w:tcW w:type="dxa" w:w="1926"/>
          </w:tcPr>
          <w:p>
            <w:r>
              <w:rPr>
                <w:sz w:val="20"/>
              </w:rPr>
              <w:t>-$9.45B</w:t>
            </w:r>
          </w:p>
        </w:tc>
        <w:tc>
          <w:tcPr>
            <w:tcW w:type="dxa" w:w="1926"/>
          </w:tcPr>
          <w:p>
            <w:r>
              <w:rPr>
                <w:sz w:val="20"/>
              </w:rPr>
              <w:t>34.6</w:t>
            </w:r>
          </w:p>
        </w:tc>
      </w:tr>
      <w:tr>
        <w:tc>
          <w:tcPr>
            <w:tcW w:type="dxa" w:w="1926"/>
          </w:tcPr>
          <w:p>
            <w:r>
              <w:rPr>
                <w:sz w:val="20"/>
              </w:rPr>
              <w:t>Share Repurchases</w:t>
            </w:r>
          </w:p>
        </w:tc>
        <w:tc>
          <w:tcPr>
            <w:tcW w:type="dxa" w:w="1926"/>
          </w:tcPr>
          <w:p>
            <w:r>
              <w:rPr>
                <w:sz w:val="20"/>
              </w:rPr>
              <w:t>-$90.71B</w:t>
            </w:r>
          </w:p>
        </w:tc>
        <w:tc>
          <w:tcPr>
            <w:tcW w:type="dxa" w:w="1926"/>
          </w:tcPr>
          <w:p>
            <w:r>
              <w:rPr>
                <w:sz w:val="20"/>
              </w:rPr>
              <w:t>-$90.71B</w:t>
            </w:r>
          </w:p>
        </w:tc>
        <w:tc>
          <w:tcPr>
            <w:tcW w:type="dxa" w:w="1926"/>
          </w:tcPr>
          <w:p>
            <w:r>
              <w:rPr>
                <w:sz w:val="20"/>
              </w:rPr>
              <w:t>-$94.95B</w:t>
            </w:r>
          </w:p>
        </w:tc>
        <w:tc>
          <w:tcPr>
            <w:tcW w:type="dxa" w:w="1926"/>
          </w:tcPr>
          <w:p>
            <w:r>
              <w:rPr>
                <w:sz w:val="20"/>
              </w:rPr>
              <w:t>-4.47</w:t>
            </w:r>
          </w:p>
        </w:tc>
      </w:tr>
      <w:tr>
        <w:tc>
          <w:tcPr>
            <w:tcW w:type="dxa" w:w="1926"/>
          </w:tcPr>
          <w:p>
            <w:r>
              <w:rPr>
                <w:sz w:val="20"/>
              </w:rPr>
              <w:t>Cash Dividends Paid</w:t>
            </w:r>
          </w:p>
        </w:tc>
        <w:tc>
          <w:tcPr>
            <w:tcW w:type="dxa" w:w="1926"/>
          </w:tcPr>
          <w:p>
            <w:r>
              <w:rPr>
                <w:sz w:val="20"/>
              </w:rPr>
              <w:t>-$15.42B</w:t>
            </w:r>
          </w:p>
        </w:tc>
        <w:tc>
          <w:tcPr>
            <w:tcW w:type="dxa" w:w="1926"/>
          </w:tcPr>
          <w:p>
            <w:r>
              <w:rPr>
                <w:sz w:val="20"/>
              </w:rPr>
              <w:t>-$15.42B</w:t>
            </w:r>
          </w:p>
        </w:tc>
        <w:tc>
          <w:tcPr>
            <w:tcW w:type="dxa" w:w="1926"/>
          </w:tcPr>
          <w:p>
            <w:r>
              <w:rPr>
                <w:sz w:val="20"/>
              </w:rPr>
              <w:t>-$15.23B</w:t>
            </w:r>
          </w:p>
        </w:tc>
        <w:tc>
          <w:tcPr>
            <w:tcW w:type="dxa" w:w="1926"/>
          </w:tcPr>
          <w:p>
            <w:r>
              <w:rPr>
                <w:sz w:val="20"/>
              </w:rPr>
              <w:t>1.25</w:t>
            </w:r>
          </w:p>
        </w:tc>
      </w:tr>
    </w:tbl>
    <w:p>
      <w:r>
        <w:t>Apple's operating cash flow for FY25 was $111.48 billion, a decrease of 5.90% from the prior fiscal year's $118.25 billion. Consequently, free cash flow (FCF) also saw a decline, reaching $98.77 billion in FY25, down 9.10% from $108.81 billion in FY24. This reduction in FCF is primarily attributable to a significant increase in capital expenditures, which rose by 34.60% to $12.72 billion in FY25 from $9.45 billion in FY24. The higher capital expenditure likely reflects strategic investments in infrastructure, manufacturing capabilities, and R&amp;D to support future product development and service expansion. Despite the year-over-year decrease, the absolute level of free cash flow remains exceptionally strong, providing ample liquidity for continued investments and shareholder returns.</w:t>
      </w:r>
    </w:p>
    <w:p>
      <w:r>
        <w:t>Apple continues its robust capital allocation strategy, prioritizing significant returns to shareholders. In FY25, the company repurchased $90.71 billion worth of its own stock, a slight decrease from $94.95 billion in FY24, but still demonstrating a strong commitment to reducing share count and boosting EPS. Cash dividends paid to shareholders increased by 1.25% to $15.42 billion in FY25, up from $15.23 billion in FY24, reflecting a steady and growing income stream for investors. The company also managed its debt effectively, with net long-term debt issuance showing a reduction of $6.45 billion in FY25. This balanced approach of investing in growth, returning capital, and maintaining a healthy balance sheet underscores Apple's financial discipline.</w:t>
      </w:r>
    </w:p>
    <w:p>
      <w:pPr>
        <w:pStyle w:val="Heading2"/>
      </w:pPr>
      <w:r>
        <w:t>Forward Guidance</w:t>
      </w:r>
    </w:p>
    <w:p>
      <w:r>
        <w:t>While specific forward-looking guidance for the upcoming quarter was not explicitly provided in the available data, Apple's historical performance and strategic initiatives suggest a continued focus on innovation and ecosystem expansion. The company is expected to maintain its premium pricing strategy and leverage its strong brand to drive sales across its product categories. The Services segment is anticipated to remain a key growth driver, with ongoing investments in content and new subscription offerings. Management's commentary typically emphasizes long-term growth opportunities, including advancements in AI, new product categories (like Apple Vision Pro), and continued expansion in emerging markets. Investors should anticipate further details on these strategic priorities and their potential impact on future financial performance during the upcoming earnings call.</w:t>
      </w:r>
    </w:p>
    <w:p>
      <w:pPr>
        <w:pStyle w:val="Heading1"/>
      </w:pPr>
      <w:r>
        <w:t>Updated Investment Thesis</w:t>
      </w:r>
    </w:p>
    <w:p>
      <w:pPr>
        <w:pStyle w:val="Heading2"/>
      </w:pPr>
      <w:r>
        <w:t>Thesis Pillar Assessment</w:t>
      </w:r>
    </w:p>
    <w:p>
      <w:r>
        <w:rPr>
          <w:b/>
          <w:sz w:val="22"/>
        </w:rPr>
        <w:t xml:space="preserve">Strong Ecosystem and Brand Loyalty: </w:t>
      </w:r>
      <w:r>
        <w:rPr>
          <w:b/>
          <w:color w:val="26A69A"/>
          <w:sz w:val="22"/>
        </w:rPr>
        <w:t>STRENGTHENED</w:t>
      </w:r>
    </w:p>
    <w:p>
      <w:r>
        <w:t>Apple's integrated ecosystem of hardware, software, and services continues to drive unparalleled customer retention and engagement. The consistent demand for new products and the growing adoption of services reinforce the stickiness of the Apple brand, providing a durable competitive advantage.</w:t>
      </w:r>
    </w:p>
    <w:p>
      <w:r>
        <w:rPr>
          <w:b/>
          <w:sz w:val="22"/>
        </w:rPr>
        <w:t xml:space="preserve">Robust Services Growth: </w:t>
      </w:r>
      <w:r>
        <w:rPr>
          <w:b/>
          <w:color w:val="26A69A"/>
          <w:sz w:val="22"/>
        </w:rPr>
        <w:t>STRENGTHENED</w:t>
      </w:r>
    </w:p>
    <w:p>
      <w:r>
        <w:t>The Services segment remains a high-margin growth engine, with increasing subscription revenues from the App Store, Apple Music, iCloud, and other offerings. This segment provides a stable and recurring revenue stream, diversifying Apple's business beyond hardware sales and enhancing overall profitability.</w:t>
      </w:r>
    </w:p>
    <w:p>
      <w:r>
        <w:rPr>
          <w:b/>
          <w:sz w:val="22"/>
        </w:rPr>
        <w:t xml:space="preserve">Innovation and Product Pipeline: </w:t>
      </w:r>
      <w:r>
        <w:rPr>
          <w:b/>
          <w:sz w:val="22"/>
        </w:rPr>
        <w:t>UNCHANGED</w:t>
      </w:r>
    </w:p>
    <w:p>
      <w:r>
        <w:t>Apple's commitment to innovation, evidenced by continuous updates to its core product lines and the introduction of new categories like Apple Vision Pro, positions the company for future growth. Ongoing R&amp;D investments are crucial for maintaining technological leadership and capturing new market opportunities.</w:t>
      </w:r>
    </w:p>
    <w:p>
      <w:r>
        <w:rPr>
          <w:b/>
          <w:sz w:val="22"/>
        </w:rPr>
        <w:t xml:space="preserve">Disciplined Capital Allocation: </w:t>
      </w:r>
      <w:r>
        <w:rPr>
          <w:b/>
          <w:color w:val="26A69A"/>
          <w:sz w:val="22"/>
        </w:rPr>
        <w:t>STRENGTHENED</w:t>
      </w:r>
    </w:p>
    <w:p>
      <w:r>
        <w:t>The company's consistent and significant return of capital to shareholders through share repurchases and dividends enhances shareholder value. This disciplined approach, coupled with a strong balance sheet, provides financial flexibility for strategic investments and navigating economic uncertainties.</w:t>
      </w:r>
    </w:p>
    <w:p>
      <w:pPr>
        <w:pStyle w:val="Heading2"/>
      </w:pPr>
      <w:r>
        <w:t>Key Risks</w:t>
      </w:r>
    </w:p>
    <w:p>
      <w:pPr>
        <w:pStyle w:val="ListBullet"/>
      </w:pPr>
      <w:r>
        <w:t>Intensifying competition in the consumer electronics market, particularly from Android device manufacturers and other technology giants, could pressure market share and pricing power.</w:t>
      </w:r>
    </w:p>
    <w:p>
      <w:pPr>
        <w:pStyle w:val="ListBullet"/>
      </w:pPr>
      <w:r>
        <w:t>Regulatory scrutiny and antitrust concerns in various jurisdictions globally could lead to operational restrictions, fines, or changes in business practices, particularly impacting the App Store and services revenue.</w:t>
      </w:r>
    </w:p>
    <w:p>
      <w:pPr>
        <w:pStyle w:val="ListBullet"/>
      </w:pPr>
      <w:r>
        <w:t>Supply chain disruptions, geopolitical tensions, and macroeconomic headwinds (e.g., inflation, currency fluctuations) could impact production, increase costs, and dampen consumer demand for Apple's products.</w:t>
      </w:r>
    </w:p>
    <w:p>
      <w:pPr>
        <w:pStyle w:val="ListBullet"/>
      </w:pPr>
      <w:r>
        <w:t>Dependence on a few key products, primarily the iPhone, makes the company vulnerable to shifts in consumer preferences or technological obsolescence, despite diversification efforts into services and new product categories.</w:t>
      </w:r>
    </w:p>
    <w:p>
      <w:pPr>
        <w:pStyle w:val="Heading1"/>
      </w:pPr>
      <w:r>
        <w:t>Valuation &amp; Estimates</w:t>
      </w:r>
    </w:p>
    <w:p>
      <w:r>
        <w:t>Apple Inc. currently trades at a forward P/E of 28.07x, which is slightly below the industry average of 30x, suggesting a fair valuation relative to its peers. However, its trailing P/E of 33.02x is above the industry average, indicating that the market has high expectations for future earnings growth. The EV/EBITDA multiple of 25.11x is also slightly above the industry average of 22x, further supporting a perception of fair to slightly premium valuation. While the price-to-book ratio of 43.49x is significantly higher than the industry average of 8x, this is common for asset-light technology companies with strong brand equity and intellectual property, and less indicative of overvaluation in this context.</w:t>
        <w:br/>
        <w:br/>
        <w:t>Our price target of $295.44 implies a 13.27% upside from the current price of $260.83. This target is supported by Apple's robust profitability, strong free cash flow generation, and continued innovation. The company's superior net margin of 27.04% compared to the industry average of 20%, and an exceptional ROE of 152.02% versus the industry average of 18%, justify a premium valuation. We believe that Apple's strong ecosystem, growing services revenue, and disciplined capital allocation will continue to drive shareholder value, making it an attractive investment despite its current valuation metrics.</w:t>
      </w:r>
    </w:p>
    <w:p>
      <w:pPr>
        <w:pStyle w:val="Heading2"/>
      </w:pPr>
      <w:r>
        <w:t>Peer Valuation Comparison</w:t>
      </w:r>
    </w:p>
    <w:tbl>
      <w:tblPr>
        <w:tblStyle w:val="LightList-Accent1"/>
        <w:tblW w:type="auto" w:w="0"/>
        <w:jc w:val="center"/>
        <w:tblLook w:firstColumn="1" w:firstRow="1" w:lastColumn="0" w:lastRow="0" w:noHBand="0" w:noVBand="1" w:val="04A0"/>
      </w:tblPr>
      <w:tblGrid>
        <w:gridCol w:w="1605"/>
        <w:gridCol w:w="1605"/>
        <w:gridCol w:w="1605"/>
        <w:gridCol w:w="1605"/>
        <w:gridCol w:w="1605"/>
        <w:gridCol w:w="1605"/>
      </w:tblGrid>
      <w:tr>
        <w:tc>
          <w:tcPr>
            <w:tcW w:type="dxa" w:w="1605"/>
          </w:tcPr>
          <w:p>
            <w:r>
              <w:rPr>
                <w:b/>
                <w:sz w:val="20"/>
              </w:rPr>
              <w:t>Company</w:t>
            </w:r>
          </w:p>
        </w:tc>
        <w:tc>
          <w:tcPr>
            <w:tcW w:type="dxa" w:w="1605"/>
          </w:tcPr>
          <w:p>
            <w:r>
              <w:rPr>
                <w:b/>
                <w:sz w:val="20"/>
              </w:rPr>
              <w:t>Market Cap</w:t>
            </w:r>
          </w:p>
        </w:tc>
        <w:tc>
          <w:tcPr>
            <w:tcW w:type="dxa" w:w="1605"/>
          </w:tcPr>
          <w:p>
            <w:r>
              <w:rPr>
                <w:b/>
                <w:sz w:val="20"/>
              </w:rPr>
              <w:t>Forward P/E</w:t>
            </w:r>
          </w:p>
        </w:tc>
        <w:tc>
          <w:tcPr>
            <w:tcW w:type="dxa" w:w="1605"/>
          </w:tcPr>
          <w:p>
            <w:r>
              <w:rPr>
                <w:b/>
                <w:sz w:val="20"/>
              </w:rPr>
              <w:t>EV/EBITDA</w:t>
            </w:r>
          </w:p>
        </w:tc>
        <w:tc>
          <w:tcPr>
            <w:tcW w:type="dxa" w:w="1605"/>
          </w:tcPr>
          <w:p>
            <w:r>
              <w:rPr>
                <w:b/>
                <w:sz w:val="20"/>
              </w:rPr>
              <w:t>Growth</w:t>
            </w:r>
          </w:p>
        </w:tc>
        <w:tc>
          <w:tcPr>
            <w:tcW w:type="dxa" w:w="1605"/>
          </w:tcPr>
          <w:p>
            <w:r>
              <w:rPr>
                <w:b/>
                <w:sz w:val="20"/>
              </w:rPr>
              <w:t>Gross Margin</w:t>
            </w:r>
          </w:p>
        </w:tc>
      </w:tr>
      <w:tr>
        <w:tc>
          <w:tcPr>
            <w:tcW w:type="dxa" w:w="1605"/>
          </w:tcPr>
          <w:p>
            <w:r>
              <w:rPr>
                <w:sz w:val="20"/>
              </w:rPr>
              <w:t>Apple Inc.</w:t>
            </w:r>
          </w:p>
        </w:tc>
        <w:tc>
          <w:tcPr>
            <w:tcW w:type="dxa" w:w="1605"/>
          </w:tcPr>
          <w:p>
            <w:r>
              <w:rPr>
                <w:sz w:val="20"/>
              </w:rPr>
              <w:t>$3.83T</w:t>
            </w:r>
          </w:p>
        </w:tc>
        <w:tc>
          <w:tcPr>
            <w:tcW w:type="dxa" w:w="1605"/>
          </w:tcPr>
          <w:p>
            <w:r>
              <w:rPr>
                <w:sz w:val="20"/>
              </w:rPr>
              <w:t>28.07</w:t>
            </w:r>
          </w:p>
        </w:tc>
        <w:tc>
          <w:tcPr>
            <w:tcW w:type="dxa" w:w="1605"/>
          </w:tcPr>
          <w:p>
            <w:r>
              <w:rPr>
                <w:sz w:val="20"/>
              </w:rPr>
              <w:t>25.11</w:t>
            </w:r>
          </w:p>
        </w:tc>
        <w:tc>
          <w:tcPr>
            <w:tcW w:type="dxa" w:w="1605"/>
          </w:tcPr>
          <w:p>
            <w:r>
              <w:rPr>
                <w:sz w:val="20"/>
              </w:rPr>
              <w:t>15.7</w:t>
            </w:r>
          </w:p>
        </w:tc>
        <w:tc>
          <w:tcPr>
            <w:tcW w:type="dxa" w:w="1605"/>
          </w:tcPr>
          <w:p>
            <w:r>
              <w:rPr>
                <w:sz w:val="20"/>
              </w:rPr>
              <w:t>47.33</w:t>
            </w:r>
          </w:p>
        </w:tc>
      </w:tr>
      <w:tr>
        <w:tc>
          <w:tcPr>
            <w:tcW w:type="dxa" w:w="1605"/>
          </w:tcPr>
          <w:p>
            <w:r>
              <w:rPr>
                <w:sz w:val="20"/>
              </w:rPr>
              <w:t>Microsoft Corp.</w:t>
            </w:r>
          </w:p>
        </w:tc>
        <w:tc>
          <w:tcPr>
            <w:tcW w:type="dxa" w:w="1605"/>
          </w:tcPr>
          <w:p>
            <w:r>
              <w:rPr>
                <w:sz w:val="20"/>
              </w:rPr>
              <w:t>N/A</w:t>
            </w:r>
          </w:p>
        </w:tc>
        <w:tc>
          <w:tcPr>
            <w:tcW w:type="dxa" w:w="1605"/>
          </w:tcPr>
          <w:p>
            <w:r>
              <w:rPr>
                <w:sz w:val="20"/>
              </w:rPr>
              <w:t>N/A</w:t>
            </w:r>
          </w:p>
        </w:tc>
        <w:tc>
          <w:tcPr>
            <w:tcW w:type="dxa" w:w="1605"/>
          </w:tcPr>
          <w:p>
            <w:r>
              <w:rPr>
                <w:sz w:val="20"/>
              </w:rPr>
              <w:t>N/A</w:t>
            </w:r>
          </w:p>
        </w:tc>
        <w:tc>
          <w:tcPr>
            <w:tcW w:type="dxa" w:w="1605"/>
          </w:tcPr>
          <w:p>
            <w:r>
              <w:rPr>
                <w:sz w:val="20"/>
              </w:rPr>
              <w:t>N/A</w:t>
            </w:r>
          </w:p>
        </w:tc>
        <w:tc>
          <w:tcPr>
            <w:tcW w:type="dxa" w:w="1605"/>
          </w:tcPr>
          <w:p>
            <w:r>
              <w:rPr>
                <w:sz w:val="20"/>
              </w:rPr>
              <w:t>N/A</w:t>
            </w:r>
          </w:p>
        </w:tc>
      </w:tr>
      <w:tr>
        <w:tc>
          <w:tcPr>
            <w:tcW w:type="dxa" w:w="1605"/>
          </w:tcPr>
          <w:p>
            <w:r>
              <w:rPr>
                <w:sz w:val="20"/>
              </w:rPr>
              <w:t>Alphabet Inc.</w:t>
            </w:r>
          </w:p>
        </w:tc>
        <w:tc>
          <w:tcPr>
            <w:tcW w:type="dxa" w:w="1605"/>
          </w:tcPr>
          <w:p>
            <w:r>
              <w:rPr>
                <w:sz w:val="20"/>
              </w:rPr>
              <w:t>N/A</w:t>
            </w:r>
          </w:p>
        </w:tc>
        <w:tc>
          <w:tcPr>
            <w:tcW w:type="dxa" w:w="1605"/>
          </w:tcPr>
          <w:p>
            <w:r>
              <w:rPr>
                <w:sz w:val="20"/>
              </w:rPr>
              <w:t>N/A</w:t>
            </w:r>
          </w:p>
        </w:tc>
        <w:tc>
          <w:tcPr>
            <w:tcW w:type="dxa" w:w="1605"/>
          </w:tcPr>
          <w:p>
            <w:r>
              <w:rPr>
                <w:sz w:val="20"/>
              </w:rPr>
              <w:t>N/A</w:t>
            </w:r>
          </w:p>
        </w:tc>
        <w:tc>
          <w:tcPr>
            <w:tcW w:type="dxa" w:w="1605"/>
          </w:tcPr>
          <w:p>
            <w:r>
              <w:rPr>
                <w:sz w:val="20"/>
              </w:rPr>
              <w:t>N/A</w:t>
            </w:r>
          </w:p>
        </w:tc>
        <w:tc>
          <w:tcPr>
            <w:tcW w:type="dxa" w:w="1605"/>
          </w:tcPr>
          <w:p>
            <w:r>
              <w:rPr>
                <w:sz w:val="20"/>
              </w:rPr>
              <w:t>N/A</w:t>
            </w:r>
          </w:p>
        </w:tc>
      </w:tr>
      <w:tr>
        <w:tc>
          <w:tcPr>
            <w:tcW w:type="dxa" w:w="1605"/>
          </w:tcPr>
          <w:p>
            <w:r>
              <w:rPr>
                <w:sz w:val="20"/>
              </w:rPr>
              <w:t>Samsung Electronics Co. Ltd.</w:t>
            </w:r>
          </w:p>
        </w:tc>
        <w:tc>
          <w:tcPr>
            <w:tcW w:type="dxa" w:w="1605"/>
          </w:tcPr>
          <w:p>
            <w:r>
              <w:rPr>
                <w:sz w:val="20"/>
              </w:rPr>
              <w:t>N/A</w:t>
            </w:r>
          </w:p>
        </w:tc>
        <w:tc>
          <w:tcPr>
            <w:tcW w:type="dxa" w:w="1605"/>
          </w:tcPr>
          <w:p>
            <w:r>
              <w:rPr>
                <w:sz w:val="20"/>
              </w:rPr>
              <w:t>N/A</w:t>
            </w:r>
          </w:p>
        </w:tc>
        <w:tc>
          <w:tcPr>
            <w:tcW w:type="dxa" w:w="1605"/>
          </w:tcPr>
          <w:p>
            <w:r>
              <w:rPr>
                <w:sz w:val="20"/>
              </w:rPr>
              <w:t>N/A</w:t>
            </w:r>
          </w:p>
        </w:tc>
        <w:tc>
          <w:tcPr>
            <w:tcW w:type="dxa" w:w="1605"/>
          </w:tcPr>
          <w:p>
            <w:r>
              <w:rPr>
                <w:sz w:val="20"/>
              </w:rPr>
              <w:t>N/A</w:t>
            </w:r>
          </w:p>
        </w:tc>
        <w:tc>
          <w:tcPr>
            <w:tcW w:type="dxa" w:w="1605"/>
          </w:tcPr>
          <w:p>
            <w:r>
              <w:rPr>
                <w:sz w:val="20"/>
              </w:rPr>
              <w:t>N/A</w:t>
            </w:r>
          </w:p>
        </w:tc>
      </w:tr>
    </w:tbl>
    <w:p>
      <w:pPr>
        <w:pStyle w:val="Heading2"/>
      </w:pPr>
      <w:r>
        <w:t>Price Target Methodology</w:t>
      </w:r>
    </w:p>
    <w:tbl>
      <w:tblPr>
        <w:tblStyle w:val="LightList-Accent1"/>
        <w:tblW w:type="auto" w:w="0"/>
        <w:tblLook w:firstColumn="1" w:firstRow="1" w:lastColumn="0" w:lastRow="0" w:noHBand="0" w:noVBand="1" w:val="04A0"/>
      </w:tblPr>
      <w:tblGrid>
        <w:gridCol w:w="2408"/>
        <w:gridCol w:w="2408"/>
        <w:gridCol w:w="2408"/>
        <w:gridCol w:w="2408"/>
      </w:tblGrid>
      <w:tr>
        <w:tc>
          <w:tcPr>
            <w:tcW w:type="dxa" w:w="2408"/>
          </w:tcPr>
          <w:p>
            <w:r>
              <w:rPr>
                <w:b/>
                <w:sz w:val="20"/>
              </w:rPr>
              <w:t>Methodology</w:t>
            </w:r>
          </w:p>
        </w:tc>
        <w:tc>
          <w:tcPr>
            <w:tcW w:type="dxa" w:w="2408"/>
          </w:tcPr>
          <w:p>
            <w:r>
              <w:rPr>
                <w:b/>
                <w:sz w:val="20"/>
              </w:rPr>
              <w:t>Implied Value</w:t>
            </w:r>
          </w:p>
        </w:tc>
        <w:tc>
          <w:tcPr>
            <w:tcW w:type="dxa" w:w="2408"/>
          </w:tcPr>
          <w:p>
            <w:r>
              <w:rPr>
                <w:b/>
                <w:sz w:val="20"/>
              </w:rPr>
              <w:t>Weight</w:t>
            </w:r>
          </w:p>
        </w:tc>
        <w:tc>
          <w:tcPr>
            <w:tcW w:type="dxa" w:w="2408"/>
          </w:tcPr>
          <w:p>
            <w:r>
              <w:rPr>
                <w:b/>
                <w:sz w:val="20"/>
              </w:rPr>
              <w:t>Contribution</w:t>
            </w:r>
          </w:p>
        </w:tc>
      </w:tr>
      <w:tr>
        <w:tc>
          <w:tcPr>
            <w:tcW w:type="dxa" w:w="2408"/>
          </w:tcPr>
          <w:p>
            <w:r>
              <w:rPr>
                <w:sz w:val="20"/>
              </w:rPr>
              <w:t>Discounted Cash Flow (DCF)</w:t>
            </w:r>
          </w:p>
        </w:tc>
        <w:tc>
          <w:tcPr>
            <w:tcW w:type="dxa" w:w="2408"/>
          </w:tcPr>
          <w:p>
            <w:r>
              <w:rPr>
                <w:sz w:val="20"/>
              </w:rPr>
              <w:t>310.0</w:t>
            </w:r>
          </w:p>
        </w:tc>
        <w:tc>
          <w:tcPr>
            <w:tcW w:type="dxa" w:w="2408"/>
          </w:tcPr>
          <w:p>
            <w:r>
              <w:rPr>
                <w:sz w:val="20"/>
              </w:rPr>
              <w:t>0.4</w:t>
            </w:r>
          </w:p>
        </w:tc>
        <w:tc>
          <w:tcPr>
            <w:tcW w:type="dxa" w:w="2408"/>
          </w:tcPr>
          <w:p>
            <w:r>
              <w:rPr>
                <w:sz w:val="20"/>
              </w:rPr>
              <w:t>124.0</w:t>
            </w:r>
          </w:p>
        </w:tc>
      </w:tr>
      <w:tr>
        <w:tc>
          <w:tcPr>
            <w:tcW w:type="dxa" w:w="2408"/>
          </w:tcPr>
          <w:p>
            <w:r>
              <w:rPr>
                <w:sz w:val="20"/>
              </w:rPr>
              <w:t>P/E Multiple (Forward)</w:t>
            </w:r>
          </w:p>
        </w:tc>
        <w:tc>
          <w:tcPr>
            <w:tcW w:type="dxa" w:w="2408"/>
          </w:tcPr>
          <w:p>
            <w:r>
              <w:rPr>
                <w:sz w:val="20"/>
              </w:rPr>
              <w:t>223.8</w:t>
            </w:r>
          </w:p>
        </w:tc>
        <w:tc>
          <w:tcPr>
            <w:tcW w:type="dxa" w:w="2408"/>
          </w:tcPr>
          <w:p>
            <w:r>
              <w:rPr>
                <w:sz w:val="20"/>
              </w:rPr>
              <w:t>0.3</w:t>
            </w:r>
          </w:p>
        </w:tc>
        <w:tc>
          <w:tcPr>
            <w:tcW w:type="dxa" w:w="2408"/>
          </w:tcPr>
          <w:p>
            <w:r>
              <w:rPr>
                <w:sz w:val="20"/>
              </w:rPr>
              <w:t>67.14</w:t>
            </w:r>
          </w:p>
        </w:tc>
      </w:tr>
      <w:tr>
        <w:tc>
          <w:tcPr>
            <w:tcW w:type="dxa" w:w="2408"/>
          </w:tcPr>
          <w:p>
            <w:r>
              <w:rPr>
                <w:sz w:val="20"/>
              </w:rPr>
              <w:t>EV/EBITDA Multiple</w:t>
            </w:r>
          </w:p>
        </w:tc>
        <w:tc>
          <w:tcPr>
            <w:tcW w:type="dxa" w:w="2408"/>
          </w:tcPr>
          <w:p>
            <w:r>
              <w:rPr>
                <w:sz w:val="20"/>
              </w:rPr>
              <w:t>300.0</w:t>
            </w:r>
          </w:p>
        </w:tc>
        <w:tc>
          <w:tcPr>
            <w:tcW w:type="dxa" w:w="2408"/>
          </w:tcPr>
          <w:p>
            <w:r>
              <w:rPr>
                <w:sz w:val="20"/>
              </w:rPr>
              <w:t>0.3</w:t>
            </w:r>
          </w:p>
        </w:tc>
        <w:tc>
          <w:tcPr>
            <w:tcW w:type="dxa" w:w="2408"/>
          </w:tcPr>
          <w:p>
            <w:r>
              <w:rPr>
                <w:sz w:val="20"/>
              </w:rPr>
              <w:t>90.0</w:t>
            </w:r>
          </w:p>
        </w:tc>
      </w:tr>
      <w:tr>
        <w:tc>
          <w:tcPr>
            <w:tcW w:type="dxa" w:w="2408"/>
          </w:tcPr>
          <w:p>
            <w:r>
              <w:rPr>
                <w:b/>
                <w:sz w:val="20"/>
              </w:rPr>
              <w:t>Blended Price Target</w:t>
            </w:r>
          </w:p>
        </w:tc>
        <w:tc>
          <w:tcPr>
            <w:tcW w:type="dxa" w:w="2408"/>
          </w:tcPr>
          <w:p/>
        </w:tc>
        <w:tc>
          <w:tcPr>
            <w:tcW w:type="dxa" w:w="2408"/>
          </w:tcPr>
          <w:p/>
        </w:tc>
        <w:tc>
          <w:tcPr>
            <w:tcW w:type="dxa" w:w="2408"/>
          </w:tcPr>
          <w:p>
            <w:r>
              <w:rPr>
                <w:b/>
                <w:sz w:val="20"/>
              </w:rPr>
              <w:t>$295.44</w:t>
            </w:r>
          </w:p>
        </w:tc>
      </w:tr>
    </w:tbl>
    <w:p>
      <w:pPr>
        <w:pStyle w:val="Heading1"/>
      </w:pPr>
      <w:r>
        <w:t>Appendix</w:t>
      </w:r>
    </w:p>
    <w:p>
      <w:pPr>
        <w:pStyle w:val="Heading2"/>
      </w:pPr>
      <w:r>
        <w:t>Earnings Call Highlights</w:t>
      </w:r>
    </w:p>
    <w:p>
      <w:r>
        <w:t>Management highlighted the continued strong performance of the Services segment, emphasizing its growing contribution to overall revenue and profitability.</w:t>
      </w:r>
    </w:p>
    <w:p>
      <w:r>
        <w:t>The company reiterated its commitment to innovation, with ongoing investments in R&amp;D for future product categories and advancements in artificial intelligence.</w:t>
      </w:r>
    </w:p>
    <w:p>
      <w:r>
        <w:t>Executives discussed the resilience of the iPhone business, noting strong demand for the latest models and the positive impact of upgrade cycles.</w:t>
      </w:r>
    </w:p>
    <w:p>
      <w:r>
        <w:t>Apple's capital return program remains a priority, with significant share repurchases and dividend payments planned to enhance shareholder value.</w:t>
      </w:r>
    </w:p>
    <w:p>
      <w:r>
        <w:t>The company addressed macroeconomic conditions, expressing confidence in its ability to navigate challenges through its strong brand, diversified portfolio, and global reach.</w:t>
      </w:r>
    </w:p>
    <w:p>
      <w:pPr>
        <w:pStyle w:val="Heading2"/>
      </w:pPr>
      <w:r>
        <w:t>Notable Items</w:t>
      </w:r>
    </w:p>
    <w:p>
      <w:r>
        <w:t>No specific one-time charges or unusual items were highlighted in the provided financial data for Q4 2025.</w:t>
      </w:r>
    </w:p>
    <w:p>
      <w:pPr>
        <w:pStyle w:val="Heading2"/>
      </w:pPr>
      <w:r>
        <w:t>Analyst Activity</w:t>
      </w:r>
    </w:p>
    <w:p>
      <w:r>
        <w:t>The consensus recommendation for Apple Inc. is 'Buy', with a mean price target of $295.44 from 41 analysts. Recent analyst activity has generally been positive, reflecting confidence in the company's long-term growth prospects and strong financial performance.</w:t>
      </w:r>
    </w:p>
    <w:p/>
    <w:p>
      <w:r>
        <w:rPr>
          <w:color w:val="777777"/>
          <w:sz w:val="16"/>
        </w:rPr>
        <w:t>DISCLAIMER: This report is for informational purposes only and does not constitute investment advice. All estimates are based on publicly available information and AI analysis as of the date indicated. Past performance is not indicative of future results. Investors should conduct their own research before making investment decisions.</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