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SecureForge Web: Uma Plataforma de Diagnóstico e Hardening</w:t>
        <w:br/>
        <w:t>de Aplicações Web com Checklist OWASP e Evidências Automatizadas</w:t>
      </w:r>
    </w:p>
    <w:p/>
    <w:p>
      <w:pPr>
        <w:jc w:val="center"/>
      </w:pPr>
      <w:r>
        <w:rPr>
          <w:rFonts w:ascii="Times New Roman" w:hAnsi="Times New Roman"/>
          <w:b w:val="0"/>
          <w:sz w:val="24"/>
        </w:rPr>
        <w:t>Josias da Silva Bentes¹, Keven Coimbra¹, Nattan Lobato¹, Margefson Barros¹</w:t>
      </w:r>
    </w:p>
    <w:p>
      <w:pPr>
        <w:jc w:val="center"/>
      </w:pPr>
      <w:r>
        <w:rPr>
          <w:rFonts w:ascii="Times New Roman" w:hAnsi="Times New Roman"/>
          <w:b w:val="0"/>
          <w:sz w:val="22"/>
        </w:rPr>
        <w:t>¹Instituto de Computação (ICOMP) – Universidade Federal do Amazonas (UFAM)</w:t>
        <w:br/>
        <w:t>CEP 69.077-000 – Manaus – AM – Brasil</w:t>
        <w:br/>
        <w:t>{josias.bentes,keven.coimbra,nattan.lobato,margefson.barros}@icomp.ufam.edu.br</w:t>
      </w:r>
    </w:p>
    <w:p/>
    <w:p>
      <w:pPr>
        <w:jc w:val="both"/>
      </w:pPr>
      <w:r>
        <w:rPr>
          <w:rFonts w:ascii="Times New Roman" w:hAnsi="Times New Roman"/>
          <w:b w:val="0"/>
          <w:i/>
          <w:sz w:val="24"/>
        </w:rPr>
        <w:t>Abstract. SecureForge Web is a web platform for guided security assessment and gradual hardening of web applications. Unlike professional vulnerability scanners, it combines an OWASP/ASVS-aligned checklist, human-in-the-loop validation, and assisted automation through HTTP header inspection, static repository analysis, and a per-user AI assistant. The tool records structured evidence per checklist item, generates findings with remediation guidance, tracks security posture over time, and exports PDF reports. We describe its architecture, assessment modules, and an experimental evaluation on a real application, demonstrating end-to-end operation from registration to posture benchmarking.</w:t>
      </w:r>
    </w:p>
    <w:p>
      <w:pPr>
        <w:jc w:val="both"/>
      </w:pPr>
      <w:r>
        <w:rPr>
          <w:rFonts w:ascii="Times New Roman" w:hAnsi="Times New Roman"/>
          <w:b w:val="0"/>
          <w:i/>
          <w:sz w:val="24"/>
        </w:rPr>
        <w:t>Resumo. A SecureForge Web é uma plataforma web para diagnóstico guiado e fortalecimento gradual (hardening) de aplicações web. Diferentemente de scanners profissionais de vulnerabilidades, combina checklist alinhado a OWASP/ASVS, validação humana no fluxo e automação assistida por inspeção de headers HTTP, análise estática de repositório Git e assistente de IA configurável por usuário. A ferramenta registra evidências estruturadas por item de checklist, gera achados com recomendações de correção, acompanha a postura de segurança ao longo do tempo e exporta relatórios em PDF. Descrevemos sua arquitetura, módulos de avaliação e uma avaliação experimental sobre aplicação real, demonstrando operação ponta a ponta desde o cadastro até o benchmark de postura.</w:t>
      </w:r>
    </w:p>
    <w:p>
      <w:pPr>
        <w:pStyle w:val="Heading1"/>
      </w:pPr>
      <w:r>
        <w:rPr>
          <w:rFonts w:ascii="Times New Roman" w:hAnsi="Times New Roman"/>
        </w:rPr>
        <w:t>1. Introdução</w:t>
      </w:r>
    </w:p>
    <w:p>
      <w:pPr>
        <w:jc w:val="both"/>
      </w:pPr>
      <w:r>
        <w:rPr>
          <w:rFonts w:ascii="Times New Roman" w:hAnsi="Times New Roman"/>
          <w:b w:val="0"/>
          <w:i w:val="0"/>
          <w:sz w:val="24"/>
        </w:rPr>
        <w:t>A segurança de aplicações web permanece entre as principais preocupações de equipes de desenvolvimento, laboratórios acadêmicos e pequenas organizações que não dispõem de processos formais de revisão de postura nem de ferramentas enterprise de análise contínua [OWASP Foundation 2021, OWASP Foundation 2024]. Nesse contexto, muitas equipes conhecem recomendações genéricas — como as do OWASP Top 10 e do Application Security Verification Standard (ASVS) —, mas enfrentam dificuldade para transformá-las em um fluxo operacional repetível, rastreável e orientado à correção.</w:t>
      </w:r>
    </w:p>
    <w:p>
      <w:pPr>
        <w:jc w:val="both"/>
      </w:pPr>
      <w:r>
        <w:rPr>
          <w:rFonts w:ascii="Times New Roman" w:hAnsi="Times New Roman"/>
          <w:b w:val="0"/>
          <w:i w:val="0"/>
          <w:sz w:val="24"/>
        </w:rPr>
        <w:t>Ferramentas de Dynamic Application Security Testing (DAST) e análise estática profissional oferecem automação em escala, porém frequentemente produzem grandes volumes de alertas, exigem curva de aprendizado elevada e não integram, de forma natural, o registro de decisões humanas, priorização de hardening e acompanhamento evolutivo da postura. Por outro lado, planilhas e documentos isolados carecem de rastreabilidade, evidência técnica e consolidação de métricas.</w:t>
      </w:r>
    </w:p>
    <w:p>
      <w:pPr>
        <w:jc w:val="both"/>
      </w:pPr>
      <w:r>
        <w:rPr>
          <w:rFonts w:ascii="Times New Roman" w:hAnsi="Times New Roman"/>
          <w:b w:val="0"/>
          <w:i w:val="0"/>
          <w:sz w:val="24"/>
        </w:rPr>
        <w:t>Este artigo apresenta a SecureForge Web¹, uma plataforma desenvolvida no âmbito da trilha AppHardener do Projeto Integrador em Ferramentas de Segurança Aplicada. A ferramenta atua como assistente guiado: o analista cadastra uma aplicação, percorre um checklist de 24 controles organizados em categorias OWASP, recebe sugestões automáticas assistidas (HTTP, Git e IA), valida manualmente cada item, documenta evidências e consolida achados com recomendações de hardening. O administrador pode, ainda, comparar posturas entre análises e modelos de IA utilizados por diferentes operadores.</w:t>
      </w:r>
    </w:p>
    <w:p>
      <w:pPr>
        <w:jc w:val="both"/>
      </w:pPr>
      <w:r>
        <w:rPr>
          <w:rFonts w:ascii="Times New Roman" w:hAnsi="Times New Roman"/>
          <w:b w:val="0"/>
          <w:i w:val="0"/>
          <w:sz w:val="24"/>
        </w:rPr>
        <w:t>A contribuição deste trabalho é tripla: (i) propor um fluxo acadêmico-prático que une checklist, automação assistida e validação humana; (ii) apresentar uma arquitetura monolítica modular implementada com tecnologias web contemporâneas; e (iii) demonstrar a geração de evidências estruturadas por item, incluindo trechos de código, headers HTTP e resumos de varredura, persistidos para revisão posterior e exportação.</w:t>
      </w:r>
    </w:p>
    <w:p>
      <w:pPr>
        <w:jc w:val="both"/>
      </w:pPr>
      <w:r>
        <w:t>¹https://github.com/secureforgeweb/secureforgeweb</w:t>
      </w:r>
    </w:p>
    <w:p>
      <w:pPr>
        <w:pStyle w:val="Heading1"/>
      </w:pPr>
      <w:r>
        <w:t>2. Trabalhos Relacionados</w:t>
      </w:r>
    </w:p>
    <w:p>
      <w:pPr/>
      <w:r>
        <w:t>A literatura sobre segurança de aplicações web abrange desde padrões normativos e metodologias de teste até plataformas automatizadas de varredura e modelos quantitativos de postura. Esta seção posiciona a SecureForge Web em relação a esses trabalhos, destacando convergências e lacunas que motivam a proposta apresentada.</w:t>
      </w:r>
    </w:p>
    <w:p>
      <w:pPr>
        <w:pStyle w:val="Heading2"/>
      </w:pPr>
      <w:r>
        <w:t>2.1. Padrões OWASP e checklists de hardening</w:t>
      </w:r>
    </w:p>
    <w:p>
      <w:pPr/>
      <w:r>
        <w:t>O OWASP Application Security Verification Standard (ASVS) [2] estabelece requisitos técnicos verificáveis para aplicações web, enquanto o Web Security Testing Guide (WSTG) [3] orienta testes de segurança de forma metodológica. O Developer Guide da OWASP consolida checklists por domínio (autenticação, sessão, controle de acesso, validação de entrada, criptografia e configuração). Trabalhos como o de CIS [11] demonstram que diretrizes OWASP podem ser aplicadas ao longo do ciclo de desenvolvimento como checklist, com validação posterior por auditoria de código e testes de penetração. Esses artefatos definem o que verificar, mas não oferecem, por si só, um fluxo operacional integrado de cadastro de aplicações, wizard guiado, gestão de achados e relatório consolidado — lacuna que a SecureForge Web endereça.</w:t>
      </w:r>
    </w:p>
    <w:p>
      <w:pPr>
        <w:pStyle w:val="Heading2"/>
      </w:pPr>
      <w:r>
        <w:t>2.2. Avaliação quantitativa baseada em ASVS</w:t>
      </w:r>
    </w:p>
    <w:p>
      <w:pPr/>
      <w:r>
        <w:t>Wen e Katt [12] propõem modelo quantitativo de avaliação de segurança web fundamentado no ASVS, expressando o nível de segurança por métricas computacionais e análise de pontos fortes e fracos. Revniuk et al. [13] descrevem sistema de informação para avaliação quantitativa ASVS com pesos de especialistas, lógica fuzzy e visualização de resultados — arquiteturalmente próximo ao dashboard de postura da SecureForge Web. Em linha semelhante, estudos sobre métricas de security assurance [14] discutem como transformar conformidade qualitativa em indicadores mensuráveis. A diferença central da proposta aqui apresentada é combinar score de postura com automação assistida (HTTP, Git e IA) e validação humana explícita no wizard, em vez de depender exclusivamente de julgamento de especialistas ou de modelos puramente estáticos.</w:t>
      </w:r>
    </w:p>
    <w:p>
      <w:pPr>
        <w:pStyle w:val="Heading2"/>
      </w:pPr>
      <w:r>
        <w:t>2.3. Automação, DAST e ferramentas de hardening</w:t>
      </w:r>
    </w:p>
    <w:p>
      <w:pPr/>
      <w:r>
        <w:t>Ferramentas de Dynamic Application Security Testing (DAST), como o OWASP ZAP, automatizam a descoberta de vulnerabilidades em escala [15], porém tendem a produzir alto volume de alertas e exigem triagem especializada. Estudos em pipelines CI/CD [10] mapeiam verificações de segurança contínuas, enquanto trabalhos sobre operationalização do ASVS em CI/CD [16] buscam testes reproduzíveis em ambientes industriais. No domínio de headers HTTP, ferramentas especializadas (ex.: analisadores de HSTS, CSP e políticas de origem cruzada) oferecem verificação pontual e integração a pipelines. Projetos open source recentes — como frameworks de avaliação black-box com nota A–F e relatório PDF [17] ou plataformas de hardening com mapeamento OWASP Top 10 [18] — aproximam-se da automação parcial, mas não integram checklist guiado por item, evidências rastreáveis por resposta, assistente de IA configurável por usuário e benchmark administrativo entre operadores.</w:t>
      </w:r>
    </w:p>
    <w:p>
      <w:pPr>
        <w:pStyle w:val="Heading2"/>
      </w:pPr>
      <w:r>
        <w:t>2.4. Maturidade de processo e posicionamento da SecureForge Web</w:t>
      </w:r>
    </w:p>
    <w:p>
      <w:pPr/>
      <w:r>
        <w:t>Modelos de maturidade como o OWASP SAMM [19] e o BSIMM [20] avaliam a capacidade organizacional de segurança de software, não o hardening pontual de uma aplicação específica. A SecureForge Web ocupa nicho complementar: ferramenta operacional para equipes pequenas, laboratórios e projetos acadêmicos que necessitam de processo estruturado de revisão AppSec sem scanner enterprise. Em síntese, o trabalho se diferencia por unir (i) checklist OWASP guiado com 24 itens em nove categorias; (ii) três escopos de automação assistida com revisão humana obrigatória; (iii) persistência de evidências auditáveis; (iv) dashboard e exportação PDF; (v) configuração de IA por perfil e comparação administrativa entre análises — combinação não encontrada de forma integrada nos trabalhos relacionados revisados.</w:t>
      </w:r>
    </w:p>
    <w:p>
      <w:pPr>
        <w:pStyle w:val="Heading1"/>
      </w:pPr>
      <w:r>
        <w:t>3. Arquitetura da SecureForge Web</w:t>
      </w:r>
    </w:p>
    <w:p>
      <w:pPr>
        <w:jc w:val="both"/>
      </w:pPr>
      <w:r>
        <w:rPr>
          <w:rFonts w:ascii="Times New Roman" w:hAnsi="Times New Roman"/>
          <w:b w:val="0"/>
          <w:i w:val="0"/>
          <w:sz w:val="24"/>
        </w:rPr>
        <w:t>A SecureForge Web adota arquitetura em camadas, com aplicação web monolítica modular em monorepo. A camada de apresentação é uma SPA em React; a camada de aplicação expõe API tipada via tRPC sobre Express; a persistência utiliza PostgreSQL 16 com Drizzle ORM. O domínio central relaciona Usuário → Aplicação → Análise → Resposta de Checklist → Achado → Recomendação, preservando rastreabilidade entre sugestão automática, evidência e decisão do analista.</w:t>
      </w:r>
    </w:p>
    <w:p>
      <w:pPr>
        <w:jc w:val="both"/>
      </w:pPr>
      <w:r>
        <w:rPr>
          <w:rFonts w:ascii="Times New Roman" w:hAnsi="Times New Roman"/>
          <w:b w:val="0"/>
          <w:i w:val="0"/>
          <w:sz w:val="24"/>
        </w:rPr>
        <w:t>A Figura 1 resume o fluxo operacional principal. O operador autentica-se, cadastra a aplicação (URL base e/ou repositório Git), inicia uma análise e percorre o wizard por categorias. Em cada item, pode executar avaliação automática por escopo (headers HTTP, repositório ou assistente IA), revisar evidências, registrar conformidade e observações, salvar parcialmente e concluir a análise, gerando achados e relatório PDF.</w:t>
      </w:r>
    </w:p>
    <w:p>
      <w:pPr>
        <w:jc w:val="both"/>
      </w:pPr>
      <w:r>
        <w:rPr>
          <w:rFonts w:ascii="Times New Roman" w:hAnsi="Times New Roman"/>
          <w:b w:val="0"/>
          <w:i/>
          <w:sz w:val="24"/>
        </w:rPr>
        <w:t>Figura 1. Fluxo operacional da SecureForge Web: cadastro → checklist guiado → automação assistida → validação humana → achados → postura → PDF.</w:t>
      </w:r>
    </w:p>
    <w:p>
      <w:pPr>
        <w:pStyle w:val="Heading2"/>
      </w:pPr>
      <w:r>
        <w:t>3.1. Gestão de Aplicações e Análises</w:t>
      </w:r>
    </w:p>
    <w:p>
      <w:pPr>
        <w:jc w:val="both"/>
      </w:pPr>
      <w:r>
        <w:rPr>
          <w:rFonts w:ascii="Times New Roman" w:hAnsi="Times New Roman"/>
          <w:b w:val="0"/>
          <w:i w:val="0"/>
          <w:sz w:val="24"/>
        </w:rPr>
        <w:t>O módulo de aplicações permite cadastrar projetos web com metadados essenciais: nome, URL base, URL do repositório Git, stack tecnológica e descrição. Cada análise vincula-se a uma aplicação e a um checklist ativo (versão 1.0 com 24 itens em seis categorias: Autenticação, Autorização, Validação de Entrada, Headers de Segurança, Gestão de Segredos, Tratamento de Erros, Exposição de Dados e Superfície de Ataque). O wizard calcula progresso por categoria e global, suporta navegação livre entre categorias e salvamento parcial de respostas antes da conclusão.</w:t>
      </w:r>
    </w:p>
    <w:p>
      <w:pPr>
        <w:pStyle w:val="Heading2"/>
      </w:pPr>
      <w:r>
        <w:t>3.2. Assessor HTTP (Headers de Segurança)</w:t>
      </w:r>
    </w:p>
    <w:p>
      <w:pPr>
        <w:jc w:val="both"/>
      </w:pPr>
      <w:r>
        <w:rPr>
          <w:rFonts w:ascii="Times New Roman" w:hAnsi="Times New Roman"/>
          <w:b w:val="0"/>
          <w:i w:val="0"/>
          <w:sz w:val="24"/>
        </w:rPr>
        <w:t>O assessor HTTP (serviço checklistAssessor.ts) realiza requisição GET à URL base cadastrada, seguindo redirecionamentos, e inspeciona headers de resposta. São avaliados cinco itens: Content-Security-Policy (HEADER-01), Strict-Transport-Security (HEADER-02), proteção anti-clickjacking via X-Frame-Options ou CSP frame-ancestors (HEADER-03), X-Content-Type-Options (HEADER-04) e uso de HTTPS na resposta final (DATA-01).</w:t>
      </w:r>
    </w:p>
    <w:p>
      <w:pPr>
        <w:jc w:val="both"/>
      </w:pPr>
      <w:r>
        <w:rPr>
          <w:rFonts w:ascii="Times New Roman" w:hAnsi="Times New Roman"/>
          <w:b w:val="0"/>
          <w:i w:val="0"/>
          <w:sz w:val="24"/>
        </w:rPr>
        <w:t>Para cada item, a ferramenta produz sugestão de conformidade (conforme, parcial, não conforme ou não aplicável), percentual de confiança, texto de evidência, racional e artefatos estruturados — incluindo resumo da varredura HTTP e tabela dos headers relevantes. O princípio adotado é sugerir, nunca substituir a validação humana: o analista confirma ou corrige antes de salvar.</w:t>
      </w:r>
    </w:p>
    <w:p>
      <w:pPr>
        <w:pStyle w:val="Heading2"/>
      </w:pPr>
      <w:r>
        <w:t>3.3. Assessor Git (Análise Estática de Repositório)</w:t>
      </w:r>
    </w:p>
    <w:p>
      <w:pPr>
        <w:jc w:val="both"/>
      </w:pPr>
      <w:r>
        <w:rPr>
          <w:rFonts w:ascii="Times New Roman" w:hAnsi="Times New Roman"/>
          <w:b w:val="0"/>
          <w:i w:val="0"/>
          <w:sz w:val="24"/>
        </w:rPr>
        <w:t>O assessor Git (gitRepoAssessor.ts) clona o repositório informado, varre até 250 arquivos de código-fonte reconhecidos (extensões .ts, .js, .py, .go, entre outras) e aplica heurísticas por código de item. Cobre 14 controles, entre eles: política de senha (AUTH-01), hash de senha com bcrypt/argon2 (AUTH-02), rate limiting (AUTH-03), expiração de sessão (AUTH-04), RBAC (AUTHZ-01 a 03), validação server-side (INPUT-01), parametrização SQL (INPUT-02), controles anti-XSS (INPUT-03), gestão de segredos (SECRET-01/02) e tratamento de erros (ERROR-01/02).</w:t>
      </w:r>
    </w:p>
    <w:p>
      <w:pPr>
        <w:jc w:val="both"/>
      </w:pPr>
      <w:r>
        <w:rPr>
          <w:rFonts w:ascii="Times New Roman" w:hAnsi="Times New Roman"/>
          <w:b w:val="0"/>
          <w:i w:val="0"/>
          <w:sz w:val="24"/>
        </w:rPr>
        <w:t>Quando um padrão é identificado, o sistema extrai trecho de código com linhas numeradas e contexto adjacente, registrando caminho do arquivo e intervalo de linhas. Esse artefato torna auditável a origem da sugestão — por exemplo, evidenciar bcrypt.hash em arquivo de autenticação ou ausência de rate limiting em rotas sensíveis.</w:t>
      </w:r>
    </w:p>
    <w:p>
      <w:pPr>
        <w:pStyle w:val="Heading2"/>
      </w:pPr>
      <w:r>
        <w:t>3.4. Assistente IA por Usuário</w:t>
      </w:r>
    </w:p>
    <w:p>
      <w:pPr>
        <w:jc w:val="both"/>
      </w:pPr>
      <w:r>
        <w:rPr>
          <w:rFonts w:ascii="Times New Roman" w:hAnsi="Times New Roman"/>
          <w:b w:val="0"/>
          <w:i w:val="0"/>
          <w:sz w:val="24"/>
        </w:rPr>
        <w:t>O módulo de assistente IA (aiChecklistAssessor.ts) orquestra avaliação dos 24 itens do checklist. Primeiro consolida resultados dos assessores HTTP e Git quando disponíveis; em seguida aplica heurísticas contextuais para itens adicionais (exposição, superfície de ataque, dependências via npm audit). Se o usuário possuir chave de API configurada no perfil, um LLM (OpenAI, Gemini, Azure OpenAI ou endpoint customizado) pode refinar sugestões em formato JSON estruturado.</w:t>
      </w:r>
    </w:p>
    <w:p>
      <w:pPr>
        <w:jc w:val="both"/>
      </w:pPr>
      <w:r>
        <w:rPr>
          <w:rFonts w:ascii="Times New Roman" w:hAnsi="Times New Roman"/>
          <w:b w:val="0"/>
          <w:i w:val="0"/>
          <w:sz w:val="24"/>
        </w:rPr>
        <w:t>Diferentemente de configuração global por ambiente, cada operador mantém provedor, modelo, URL base e chave em user_ai_assistant_configs, permitindo benchmark entre analistas e modelos na visão administrativa. Em ausência de API ou em falhas (ex.: HTTP 429), o sistema recua para modo heurístico, registrando o modo efetivo em analysis_assessment_runs.</w:t>
      </w:r>
    </w:p>
    <w:p>
      <w:pPr>
        <w:pStyle w:val="Heading2"/>
      </w:pPr>
      <w:r>
        <w:t>3.5. Evidências e Rastreabilidade</w:t>
      </w:r>
    </w:p>
    <w:p>
      <w:pPr>
        <w:jc w:val="both"/>
      </w:pPr>
      <w:r>
        <w:rPr>
          <w:rFonts w:ascii="Times New Roman" w:hAnsi="Times New Roman"/>
          <w:b w:val="0"/>
          <w:i w:val="0"/>
          <w:sz w:val="24"/>
        </w:rPr>
        <w:t>Um requisito central da trilha AppHardener é documentar como cada sugestão foi obtida. A SecureForge Web persiste evidências por item em analysis_item_evidence, associando análise, item, escopo (http_headers, git_repo, ai_agent), conformidade sugerida, confiança, texto, racional e lista de artefatos JSON (código, headers, resumo de varredura ou texto).</w:t>
      </w:r>
    </w:p>
    <w:p>
      <w:pPr>
        <w:jc w:val="both"/>
      </w:pPr>
      <w:r>
        <w:rPr>
          <w:rFonts w:ascii="Times New Roman" w:hAnsi="Times New Roman"/>
          <w:b w:val="0"/>
          <w:i w:val="0"/>
          <w:sz w:val="24"/>
        </w:rPr>
        <w:t>Na interface, o analista visualiza card compacto com racional e botão Evidência, abrindo modal com hierarquia visual: conclusão destacada, trecho de código em destaque (linha detectada realçada), headers em tabela e resumo Git colapsável. É possível exportar PNG da evidência para anexação em relatórios externos. Cada execução automática também é registrada em analysis_assessment_runs com escopo, modo, provedor/modelo e quantidade de itens avaliados.</w:t>
      </w:r>
    </w:p>
    <w:p>
      <w:pPr>
        <w:pStyle w:val="Heading2"/>
      </w:pPr>
      <w:r>
        <w:t>3.6. Achados, Postura e Governança Administrativa</w:t>
      </w:r>
    </w:p>
    <w:p>
      <w:pPr>
        <w:jc w:val="both"/>
      </w:pPr>
      <w:r>
        <w:rPr>
          <w:rFonts w:ascii="Times New Roman" w:hAnsi="Times New Roman"/>
          <w:b w:val="0"/>
          <w:i w:val="0"/>
          <w:sz w:val="24"/>
        </w:rPr>
        <w:t>Ao concluir a análise, itens não conformes ou parciais geram achados com severidade, prioridade, status (aberto, em correção, resolvido, aceito risco) e histórico de alterações. Recomendações padrão por item orientam hardening. O dashboard de postura consolida score percentual, distribuição por severidade e evolução entre análises. Administradores acessam visão global de todas as análises, com filtros por coluna, seleção múltipla e gráfico comparativo de postura entre execuções — útil para avaliar reprodutibilidade de diferentes modelos de IA e operadores.</w:t>
      </w:r>
    </w:p>
    <w:p>
      <w:pPr>
        <w:pStyle w:val="Heading1"/>
      </w:pPr>
      <w:r>
        <w:t>4. Limitações</w:t>
      </w:r>
    </w:p>
    <w:p>
      <w:pPr>
        <w:jc w:val="both"/>
      </w:pPr>
      <w:r>
        <w:rPr>
          <w:rFonts w:ascii="Times New Roman" w:hAnsi="Times New Roman"/>
          <w:b w:val="0"/>
          <w:i w:val="0"/>
          <w:sz w:val="24"/>
        </w:rPr>
        <w:t>Apesar dos benefícios apresentados, a SecureForge Web possui restrições deliberadas, coerentes com o recorte acadêmico da trilha AppHardener: (1) não substitui DAST profissional, pentest ou varredura de dependências em produção; (2) análise Git limita-se a repositórios acessíveis por HTTPS público, com teto de arquivos e tamanho por arquivo; (3) heurísticas estáticas podem gerar falsos positivos/negativos em frameworks não previstos; (4) o LLM depende de chave válida e pode alucinar — o fallback heurístico mitiga, mas não elimina o risco; (5) evidências refletem snapshot no momento da execução, não monitoramento contínuo; (6) benchmark administrativo compara postura agregada, não latência ou custo de API por item. Essas limitações não comprometem o objetivo de apoiar revisão guiada e documentada, mas exigem validação humana sistemática.</w:t>
      </w:r>
    </w:p>
    <w:p>
      <w:pPr>
        <w:pStyle w:val="Heading1"/>
      </w:pPr>
      <w:r>
        <w:t>5. Avaliação Experimental</w:t>
      </w:r>
    </w:p>
    <w:p>
      <w:pPr>
        <w:pStyle w:val="Heading2"/>
      </w:pPr>
      <w:r>
        <w:t>5.1. Ambiente e Metodologia</w:t>
      </w:r>
    </w:p>
    <w:p>
      <w:pPr>
        <w:jc w:val="both"/>
      </w:pPr>
      <w:r>
        <w:t>A avaliação foi conduzida sobre a própria aplicação SecureForge Web em ambiente de desenvolvimento local, com PostgreSQL 16 em contêiner Docker, Node.js 20+ e pnpm como gerenciador de pacotes. A máquina hospedeira dispõe de processador Intel Core i7, 16 GB de RAM e SSD. O repositório público github.com/margefson/secureforgeweb foi cadastrado como alvo, com URL base http://localhost:5173 para avaliação HTTP.</w:t>
      </w:r>
    </w:p>
    <w:p>
      <w:pPr>
        <w:jc w:val="both"/>
      </w:pPr>
      <w:r>
        <w:rPr>
          <w:rFonts w:ascii="Times New Roman" w:hAnsi="Times New Roman"/>
          <w:b w:val="0"/>
          <w:i w:val="0"/>
          <w:sz w:val="24"/>
        </w:rPr>
        <w:t>O protocolo experimental compreendeu: (i) cadastro da aplicação; (ii) criação de análise; (iii) execução dos três escopos automáticos por categoria Autenticação; (iv) inspeção de evidências por item; (v) salvamento de respostas e conclusão; (vi) geração de achados e exportação PDF; (vii) segunda análise com configuração de IA distinta para comparação administrativa.</w:t>
      </w:r>
    </w:p>
    <w:p>
      <w:pPr>
        <w:pStyle w:val="Heading2"/>
      </w:pPr>
      <w:r>
        <w:t>5.2. Resultados</w:t>
      </w:r>
    </w:p>
    <w:p>
      <w:pPr>
        <w:jc w:val="both"/>
      </w:pPr>
      <w:r>
        <w:rPr>
          <w:rFonts w:ascii="Times New Roman" w:hAnsi="Times New Roman"/>
          <w:b w:val="0"/>
          <w:i w:val="0"/>
          <w:sz w:val="24"/>
        </w:rPr>
        <w:t>A Tabela 1 resume exemplos de sugestões e evidências obtidas na categoria Autenticação. O assessor Git identificou política de senha (AUTH-01) e hash bcrypt (AUTH-02) com trechos de código referenciando arquivos do backend. O assessor HTTP sinalizou ausência de HSTS em ambiente local (esperado). O assistente IA consolidou os 24 itens em execução única, registrando modo llm ou heuristic conforme disponibilidade de API.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Item</w:t>
            </w:r>
          </w:p>
        </w:tc>
        <w:tc>
          <w:tcPr>
            <w:tcW w:type="dxa" w:w="2351"/>
          </w:tcPr>
          <w:p>
            <w:r>
              <w:rPr>
                <w:rFonts w:ascii="Times New Roman" w:hAnsi="Times New Roman"/>
                <w:b/>
                <w:sz w:val="20"/>
              </w:rPr>
              <w:t>Escopo</w:t>
            </w:r>
          </w:p>
        </w:tc>
        <w:tc>
          <w:tcPr>
            <w:tcW w:type="dxa" w:w="2351"/>
          </w:tcPr>
          <w:p>
            <w:r>
              <w:rPr>
                <w:rFonts w:ascii="Times New Roman" w:hAnsi="Times New Roman"/>
                <w:b/>
                <w:sz w:val="20"/>
              </w:rPr>
              <w:t>Resultado</w:t>
            </w:r>
          </w:p>
        </w:tc>
        <w:tc>
          <w:tcPr>
            <w:tcW w:type="dxa" w:w="2351"/>
          </w:tcPr>
          <w:p>
            <w:r>
              <w:rPr>
                <w:rFonts w:ascii="Times New Roman" w:hAnsi="Times New Roman"/>
                <w:b/>
                <w:sz w:val="20"/>
              </w:rPr>
              <w:t>Evidência gerada</w:t>
            </w:r>
          </w:p>
        </w:tc>
      </w:tr>
      <w:tr>
        <w:tc>
          <w:tcPr>
            <w:tcW w:type="dxa" w:w="2351"/>
          </w:tcPr>
          <w:p>
            <w:r>
              <w:rPr>
                <w:rFonts w:ascii="Times New Roman" w:hAnsi="Times New Roman"/>
                <w:sz w:val="20"/>
              </w:rPr>
              <w:t>AUTH-01</w:t>
            </w:r>
          </w:p>
        </w:tc>
        <w:tc>
          <w:tcPr>
            <w:tcW w:type="dxa" w:w="2351"/>
          </w:tcPr>
          <w:p>
            <w:r>
              <w:rPr>
                <w:rFonts w:ascii="Times New Roman" w:hAnsi="Times New Roman"/>
                <w:sz w:val="20"/>
              </w:rPr>
              <w:t>Git</w:t>
            </w:r>
          </w:p>
        </w:tc>
        <w:tc>
          <w:tcPr>
            <w:tcW w:type="dxa" w:w="2351"/>
          </w:tcPr>
          <w:p>
            <w:r>
              <w:rPr>
                <w:rFonts w:ascii="Times New Roman" w:hAnsi="Times New Roman"/>
                <w:sz w:val="20"/>
              </w:rPr>
              <w:t>Conforme (88%)</w:t>
            </w:r>
          </w:p>
        </w:tc>
        <w:tc>
          <w:tcPr>
            <w:tcW w:type="dxa" w:w="2351"/>
          </w:tcPr>
          <w:p>
            <w:r>
              <w:rPr>
                <w:rFonts w:ascii="Times New Roman" w:hAnsi="Times New Roman"/>
                <w:sz w:val="20"/>
              </w:rPr>
              <w:t>Trecho com validação de senha em auth.service.ts</w:t>
            </w:r>
          </w:p>
        </w:tc>
      </w:tr>
      <w:tr>
        <w:tc>
          <w:tcPr>
            <w:tcW w:type="dxa" w:w="2351"/>
          </w:tcPr>
          <w:p>
            <w:r>
              <w:rPr>
                <w:rFonts w:ascii="Times New Roman" w:hAnsi="Times New Roman"/>
                <w:sz w:val="20"/>
              </w:rPr>
              <w:t>AUTH-02</w:t>
            </w:r>
          </w:p>
        </w:tc>
        <w:tc>
          <w:tcPr>
            <w:tcW w:type="dxa" w:w="2351"/>
          </w:tcPr>
          <w:p>
            <w:r>
              <w:rPr>
                <w:rFonts w:ascii="Times New Roman" w:hAnsi="Times New Roman"/>
                <w:sz w:val="20"/>
              </w:rPr>
              <w:t>Git</w:t>
            </w:r>
          </w:p>
        </w:tc>
        <w:tc>
          <w:tcPr>
            <w:tcW w:type="dxa" w:w="2351"/>
          </w:tcPr>
          <w:p>
            <w:r>
              <w:rPr>
                <w:rFonts w:ascii="Times New Roman" w:hAnsi="Times New Roman"/>
                <w:sz w:val="20"/>
              </w:rPr>
              <w:t>Conforme (90%)</w:t>
            </w:r>
          </w:p>
        </w:tc>
        <w:tc>
          <w:tcPr>
            <w:tcW w:type="dxa" w:w="2351"/>
          </w:tcPr>
          <w:p>
            <w:r>
              <w:rPr>
                <w:rFonts w:ascii="Times New Roman" w:hAnsi="Times New Roman"/>
                <w:sz w:val="20"/>
              </w:rPr>
              <w:t>bcrypt.hash em fluxo de registro de usuário</w:t>
            </w:r>
          </w:p>
        </w:tc>
      </w:tr>
      <w:tr>
        <w:tc>
          <w:tcPr>
            <w:tcW w:type="dxa" w:w="2351"/>
          </w:tcPr>
          <w:p>
            <w:r>
              <w:rPr>
                <w:rFonts w:ascii="Times New Roman" w:hAnsi="Times New Roman"/>
                <w:sz w:val="20"/>
              </w:rPr>
              <w:t>AUTH-03</w:t>
            </w:r>
          </w:p>
        </w:tc>
        <w:tc>
          <w:tcPr>
            <w:tcW w:type="dxa" w:w="2351"/>
          </w:tcPr>
          <w:p>
            <w:r>
              <w:rPr>
                <w:rFonts w:ascii="Times New Roman" w:hAnsi="Times New Roman"/>
                <w:sz w:val="20"/>
              </w:rPr>
              <w:t>Git</w:t>
            </w:r>
          </w:p>
        </w:tc>
        <w:tc>
          <w:tcPr>
            <w:tcW w:type="dxa" w:w="2351"/>
          </w:tcPr>
          <w:p>
            <w:r>
              <w:rPr>
                <w:rFonts w:ascii="Times New Roman" w:hAnsi="Times New Roman"/>
                <w:sz w:val="20"/>
              </w:rPr>
              <w:t>Conforme (84%)</w:t>
            </w:r>
          </w:p>
        </w:tc>
        <w:tc>
          <w:tcPr>
            <w:tcW w:type="dxa" w:w="2351"/>
          </w:tcPr>
          <w:p>
            <w:r>
              <w:rPr>
                <w:rFonts w:ascii="Times New Roman" w:hAnsi="Times New Roman"/>
                <w:sz w:val="20"/>
              </w:rPr>
              <w:t>express-rate-limit em index.ts</w:t>
            </w:r>
          </w:p>
        </w:tc>
      </w:tr>
      <w:tr>
        <w:tc>
          <w:tcPr>
            <w:tcW w:type="dxa" w:w="2351"/>
          </w:tcPr>
          <w:p>
            <w:r>
              <w:rPr>
                <w:rFonts w:ascii="Times New Roman" w:hAnsi="Times New Roman"/>
                <w:sz w:val="20"/>
              </w:rPr>
              <w:t>AUTH-04</w:t>
            </w:r>
          </w:p>
        </w:tc>
        <w:tc>
          <w:tcPr>
            <w:tcW w:type="dxa" w:w="2351"/>
          </w:tcPr>
          <w:p>
            <w:r>
              <w:rPr>
                <w:rFonts w:ascii="Times New Roman" w:hAnsi="Times New Roman"/>
                <w:sz w:val="20"/>
              </w:rPr>
              <w:t>Git</w:t>
            </w:r>
          </w:p>
        </w:tc>
        <w:tc>
          <w:tcPr>
            <w:tcW w:type="dxa" w:w="2351"/>
          </w:tcPr>
          <w:p>
            <w:r>
              <w:rPr>
                <w:rFonts w:ascii="Times New Roman" w:hAnsi="Times New Roman"/>
                <w:sz w:val="20"/>
              </w:rPr>
              <w:t>Conforme (80%)</w:t>
            </w:r>
          </w:p>
        </w:tc>
        <w:tc>
          <w:tcPr>
            <w:tcW w:type="dxa" w:w="2351"/>
          </w:tcPr>
          <w:p>
            <w:r>
              <w:rPr>
                <w:rFonts w:ascii="Times New Roman" w:hAnsi="Times New Roman"/>
                <w:sz w:val="20"/>
              </w:rPr>
              <w:t>maxAge/expiresIn em configuração de sessão</w:t>
            </w:r>
          </w:p>
        </w:tc>
      </w:tr>
      <w:tr>
        <w:tc>
          <w:tcPr>
            <w:tcW w:type="dxa" w:w="2351"/>
          </w:tcPr>
          <w:p>
            <w:r>
              <w:rPr>
                <w:rFonts w:ascii="Times New Roman" w:hAnsi="Times New Roman"/>
                <w:sz w:val="20"/>
              </w:rPr>
              <w:t>HEADER-02</w:t>
            </w:r>
          </w:p>
        </w:tc>
        <w:tc>
          <w:tcPr>
            <w:tcW w:type="dxa" w:w="2351"/>
          </w:tcPr>
          <w:p>
            <w:r>
              <w:rPr>
                <w:rFonts w:ascii="Times New Roman" w:hAnsi="Times New Roman"/>
                <w:sz w:val="20"/>
              </w:rPr>
              <w:t>HTTP</w:t>
            </w:r>
          </w:p>
        </w:tc>
        <w:tc>
          <w:tcPr>
            <w:tcW w:type="dxa" w:w="2351"/>
          </w:tcPr>
          <w:p>
            <w:r>
              <w:rPr>
                <w:rFonts w:ascii="Times New Roman" w:hAnsi="Times New Roman"/>
                <w:sz w:val="20"/>
              </w:rPr>
              <w:t>Não conforme (90%)</w:t>
            </w:r>
          </w:p>
        </w:tc>
        <w:tc>
          <w:tcPr>
            <w:tcW w:type="dxa" w:w="2351"/>
          </w:tcPr>
          <w:p>
            <w:r>
              <w:rPr>
                <w:rFonts w:ascii="Times New Roman" w:hAnsi="Times New Roman"/>
                <w:sz w:val="20"/>
              </w:rPr>
              <w:t>HSTS ausente em localhost</w:t>
            </w:r>
          </w:p>
        </w:tc>
      </w:tr>
      <w:tr>
        <w:tc>
          <w:tcPr>
            <w:tcW w:type="dxa" w:w="2351"/>
          </w:tcPr>
          <w:p>
            <w:r>
              <w:rPr>
                <w:rFonts w:ascii="Times New Roman" w:hAnsi="Times New Roman"/>
                <w:sz w:val="20"/>
              </w:rPr>
              <w:t>Checklist</w:t>
            </w:r>
          </w:p>
        </w:tc>
        <w:tc>
          <w:tcPr>
            <w:tcW w:type="dxa" w:w="2351"/>
          </w:tcPr>
          <w:p>
            <w:r>
              <w:rPr>
                <w:rFonts w:ascii="Times New Roman" w:hAnsi="Times New Roman"/>
                <w:sz w:val="20"/>
              </w:rPr>
              <w:t>IA</w:t>
            </w:r>
          </w:p>
        </w:tc>
        <w:tc>
          <w:tcPr>
            <w:tcW w:type="dxa" w:w="2351"/>
          </w:tcPr>
          <w:p>
            <w:r>
              <w:rPr>
                <w:rFonts w:ascii="Times New Roman" w:hAnsi="Times New Roman"/>
                <w:sz w:val="20"/>
              </w:rPr>
              <w:t>24 sugestões</w:t>
            </w:r>
          </w:p>
        </w:tc>
        <w:tc>
          <w:tcPr>
            <w:tcW w:type="dxa" w:w="2351"/>
          </w:tcPr>
          <w:p>
            <w:r>
              <w:rPr>
                <w:rFonts w:ascii="Times New Roman" w:hAnsi="Times New Roman"/>
                <w:sz w:val="20"/>
              </w:rPr>
              <w:t>Orquestração HTTP + Git + LLM/heurística</w:t>
            </w:r>
          </w:p>
        </w:tc>
      </w:tr>
    </w:tbl>
    <w:p/>
    <w:p>
      <w:pPr>
        <w:jc w:val="both"/>
      </w:pPr>
      <w:r>
        <w:rPr>
          <w:rFonts w:ascii="Times New Roman" w:hAnsi="Times New Roman"/>
          <w:b w:val="0"/>
          <w:i/>
          <w:sz w:val="24"/>
        </w:rPr>
        <w:t>Tabela 1. Exemplos de resultados na avaliação da categoria Autenticação e cobertura completa via assistente IA.</w:t>
      </w:r>
    </w:p>
    <w:p>
      <w:pPr>
        <w:jc w:val="both"/>
      </w:pPr>
      <w:r>
        <w:rPr>
          <w:rFonts w:ascii="Times New Roman" w:hAnsi="Times New Roman"/>
          <w:b w:val="0"/>
          <w:i w:val="0"/>
          <w:sz w:val="24"/>
        </w:rPr>
        <w:t>O tempo de execução do assessor Git ficou entre 15 e 45 segundos, dependendo do tamanho do clone. A avaliação HTTP completou em menos de 12 segundos por URL. O assistente IA variou de 8 segundos (modo heurístico) a 35 segundos (LLM com 24 itens). A geração do PDF concluiu em menos de 3 segundos. O fluxo ponta a ponta — da criação da análise ao relatório — foi executado sem intervenção manual no banco de dados, confirmando a integração entre camadas.</w:t>
      </w:r>
    </w:p>
    <w:p>
      <w:pPr>
        <w:jc w:val="both"/>
      </w:pPr>
      <w:r>
        <w:rPr>
          <w:rFonts w:ascii="Times New Roman" w:hAnsi="Times New Roman"/>
          <w:b w:val="0"/>
          <w:i w:val="0"/>
          <w:sz w:val="24"/>
        </w:rPr>
        <w:t>Na visão administrativa, duas análises da mesma aplicação com modelos distintos produziram posturas comparáveis (diferença inferior a 5 pontos percentuais no score agregado), com variação pontual em itens dependentes de interpretação do LLM (ex.: EXPOS-01 e SURF-01). O registro em analysis_assessment_runs permitiu identificar qual executor e qual provedor:modelo geraram cada execução.</w:t>
      </w:r>
    </w:p>
    <w:p>
      <w:pPr>
        <w:pStyle w:val="Heading1"/>
      </w:pPr>
      <w:r>
        <w:t>6. Conclusão</w:t>
      </w:r>
    </w:p>
    <w:p>
      <w:pPr>
        <w:jc w:val="both"/>
      </w:pPr>
      <w:r>
        <w:rPr>
          <w:rFonts w:ascii="Times New Roman" w:hAnsi="Times New Roman"/>
          <w:b w:val="0"/>
          <w:i w:val="0"/>
          <w:sz w:val="24"/>
        </w:rPr>
        <w:t>A SecureForge Web materializa a proposta da trilha AppHardener em ferramenta operacional: checklist OWASP guiado, automação assistida com três escopos complementares, evidências estruturadas por item e fluxo de hardening com achados, postura e PDF. Sua arquitetura monolítica modular favorece manutenção acadêmica e extensão incremental — novos itens, assessores ou provedores de IA podem ser incorporados sem reestruturação completa.</w:t>
      </w:r>
    </w:p>
    <w:p>
      <w:pPr>
        <w:jc w:val="both"/>
      </w:pPr>
      <w:r>
        <w:rPr>
          <w:rFonts w:ascii="Times New Roman" w:hAnsi="Times New Roman"/>
          <w:b w:val="0"/>
          <w:i w:val="0"/>
          <w:sz w:val="24"/>
        </w:rPr>
        <w:t>Entre as principais vantagens destacam-se: (i) validação humana explícita no wizard, evitando veredictos opacos; (ii) evidências técnicas auditáveis (código, headers, varredura); (iii) IA configurável por usuário com benchmark administrativo; e (iv) rastreabilidade entre sugestão, resposta, achado e relatório. A avaliação experimental sobre aplicação real confirmou operação ponta a ponta e utilidade didática para equipes sem processo formal de AppSec.</w:t>
      </w:r>
    </w:p>
    <w:p>
      <w:pPr>
        <w:jc w:val="both"/>
      </w:pPr>
      <w:r>
        <w:rPr>
          <w:rFonts w:ascii="Times New Roman" w:hAnsi="Times New Roman"/>
          <w:b w:val="0"/>
          <w:i w:val="0"/>
          <w:sz w:val="24"/>
        </w:rPr>
        <w:t>Como trabalhos futuros, planeja-se: expandir cobertura de linguagens e frameworks nas heurísticas Git; suportar repositórios privados com token; integrar varredura de dependências (npm audit, OSV) de forma nativa no fluxo de evidências; incorporar comparação por categoria OWASP no benchmark; e avaliar a ferramenta com múltiplas equipes em cenário controlado, medindo tempo de revisão e taxa de aceitação de sugestões automáticas.</w:t>
      </w:r>
    </w:p>
    <w:p>
      <w:pPr>
        <w:pStyle w:val="Heading1"/>
      </w:pPr>
      <w:r>
        <w:t>7. Agradecimentos</w:t>
      </w:r>
    </w:p>
    <w:p>
      <w:pPr>
        <w:jc w:val="both"/>
      </w:pPr>
      <w:r>
        <w:rPr>
          <w:rFonts w:ascii="Times New Roman" w:hAnsi="Times New Roman"/>
          <w:b w:val="0"/>
          <w:i w:val="0"/>
          <w:sz w:val="24"/>
        </w:rPr>
        <w:t>Este estudo foi desenvolvido no âmbito do Projeto Integrador em Ferramentas de Segurança Aplicada do Instituto de Computação da UFAM. Os autores agradecem ao apoio institucional e às discilinas do módulo que fundamentaram os requisitos da trilha AppHardener.</w:t>
      </w:r>
    </w:p>
    <w:p>
      <w:pPr>
        <w:pStyle w:val="Heading1"/>
      </w:pPr>
      <w:r>
        <w:rPr>
          <w:rFonts w:ascii="Times New Roman" w:hAnsi="Times New Roman"/>
        </w:rPr>
        <w:t>Referências</w:t>
      </w:r>
    </w:p>
    <w:p>
      <w:pPr>
        <w:ind w:left="567" w:hanging="567"/>
      </w:pPr>
      <w:r>
        <w:rPr>
          <w:rFonts w:ascii="Times New Roman" w:hAnsi="Times New Roman"/>
          <w:sz w:val="22"/>
        </w:rPr>
        <w:t>OWASP Foundation (2021). OWASP Top 10:2021. https://owasp.org/Top10/. Acessado em: 01-07-2026.</w:t>
      </w:r>
    </w:p>
    <w:p>
      <w:pPr>
        <w:ind w:left="567" w:hanging="567"/>
      </w:pPr>
      <w:r>
        <w:rPr>
          <w:rFonts w:ascii="Times New Roman" w:hAnsi="Times New Roman"/>
          <w:sz w:val="22"/>
        </w:rPr>
        <w:t>OWASP Foundation (2024). OWASP Application Security Verification Standard (ASVS) 4.0. https://owasp.org/www-project-application-security-verification-standard/. Acessado em: 01-07-2026.</w:t>
      </w:r>
    </w:p>
    <w:p>
      <w:pPr>
        <w:ind w:left="567" w:hanging="567"/>
      </w:pPr>
      <w:r>
        <w:rPr>
          <w:rFonts w:ascii="Times New Roman" w:hAnsi="Times New Roman"/>
          <w:sz w:val="22"/>
        </w:rPr>
        <w:t>OWASP Foundation (2023). OWASP Web Security Testing Guide (WSTG). https://owasp.org/www-project-web-security-testing-guide/. Acessado em: 01-07-2026.</w:t>
      </w:r>
    </w:p>
    <w:p>
      <w:pPr>
        <w:ind w:left="567" w:hanging="567"/>
      </w:pPr>
      <w:r>
        <w:rPr>
          <w:rFonts w:ascii="Times New Roman" w:hAnsi="Times New Roman"/>
          <w:sz w:val="22"/>
        </w:rPr>
        <w:t>Stuttard, D. and Pinto, M. (2011). The Web Application Hacker's Handbook: Finding and Exploiting Security Flaws. Wiley.</w:t>
      </w:r>
    </w:p>
    <w:p>
      <w:pPr>
        <w:ind w:left="567" w:hanging="567"/>
      </w:pPr>
      <w:r>
        <w:rPr>
          <w:rFonts w:ascii="Times New Roman" w:hAnsi="Times New Roman"/>
          <w:sz w:val="22"/>
        </w:rPr>
        <w:t>McGraw, G. (2006). Software Security: Building Security In. Addison-Wesley.</w:t>
      </w:r>
    </w:p>
    <w:p>
      <w:pPr>
        <w:ind w:left="567" w:hanging="567"/>
      </w:pPr>
      <w:r>
        <w:rPr>
          <w:rFonts w:ascii="Times New Roman" w:hAnsi="Times New Roman"/>
          <w:sz w:val="22"/>
        </w:rPr>
        <w:t>Chess, B. and West, J. (2007). Secure Programming with Static Analysis. Addison-Wesley.</w:t>
      </w:r>
    </w:p>
    <w:p>
      <w:pPr>
        <w:ind w:left="567" w:hanging="567"/>
      </w:pPr>
      <w:r>
        <w:rPr>
          <w:rFonts w:ascii="Times New Roman" w:hAnsi="Times New Roman"/>
          <w:sz w:val="22"/>
        </w:rPr>
        <w:t>Shostack, A. (2014). Threat Modeling: Designing for Security. Wiley.</w:t>
      </w:r>
    </w:p>
    <w:p>
      <w:pPr>
        <w:ind w:left="567" w:hanging="567"/>
      </w:pPr>
      <w:r>
        <w:rPr>
          <w:rFonts w:ascii="Times New Roman" w:hAnsi="Times New Roman"/>
          <w:sz w:val="22"/>
        </w:rPr>
        <w:t>Bau, J. et al. (2010). State of the Art: Automated Black-Box Web Application Vulnerability Testing. In IEEE Symposium on Security and Privacy, pages 93–104.</w:t>
      </w:r>
    </w:p>
    <w:p>
      <w:pPr>
        <w:ind w:left="567" w:hanging="567"/>
      </w:pPr>
      <w:r>
        <w:rPr>
          <w:rFonts w:ascii="Times New Roman" w:hAnsi="Times New Roman"/>
          <w:sz w:val="22"/>
        </w:rPr>
        <w:t>Li, Z. et al. (2018). VulPecker: Scalable Vulnerability Detection for Android Applications. In IEEE/ACM ICSE, pages 1–12.</w:t>
      </w:r>
    </w:p>
    <w:p>
      <w:pPr>
        <w:ind w:left="567" w:hanging="567"/>
      </w:pPr>
      <w:r>
        <w:rPr>
          <w:rFonts w:ascii="Times New Roman" w:hAnsi="Times New Roman"/>
          <w:sz w:val="22"/>
        </w:rPr>
        <w:t>Zimmermann, M. et al. (2019). Systematic Mapping Study on Security Checks in CI/CD Pipelines. In IEEE/ACM SEIP Workshop.</w:t>
      </w:r>
    </w:p>
    <w:p/>
    <w:p>
      <w:pPr/>
      <w:r>
        <w:t>CIS (2013). Developing a Secure Web Application Using OWASP Guidelines. Computer and Information Science, 2(4), 137–148. https://doi.org/10.5539/cis.v2n4p137. Acessado em: 07-07-2026.</w:t>
      </w:r>
    </w:p>
    <w:p>
      <w:pPr/>
      <w:r>
        <w:t>Wen, S.-F. and Katt, B. (2023). A quantitative security evaluation and analysis model for web applications based on OWASP application security verification standard. Computers &amp; Security, 135, 103532. https://doi.org/10.1016/j.cose.2023.103532. Acessado em: 07-07-2026.</w:t>
      </w:r>
    </w:p>
    <w:p>
      <w:pPr/>
      <w:r>
        <w:t>Revniuk, O. et al. (2025). Development of an information system for the quantitative assessment of web application security based on the OWASP ASVS standard. Scientific Journal of the Ternopil Ivan Puluj National Technical University, 118(2), 56–65. https://sj.tntu.edu.ua/index.php/sjtntu/article/view/63. Acessado em: 07-07-2026.</w:t>
      </w:r>
    </w:p>
    <w:p>
      <w:pPr/>
      <w:r>
        <w:t>Wen, S.-F. et al. (2022). Developing Security Assurance Metrics to Support Quantitative Security Assurance Evaluation. Journal of Cybersecurity and Privacy, 2(3), 587–605. https://doi.org/10.3390/jcp2030030. Acessado em: 07-07-2026.</w:t>
      </w:r>
    </w:p>
    <w:p>
      <w:pPr/>
      <w:r>
        <w:t>Priyawati, D. et al. (2022). Website Vulnerability Testing and Analysis of Website Application Using OWASP. International Journal of Computer and Information System (IJCIS), 3(3), 142–147. https://doi.org/10.29040/ijcis.v3i3.90. Acessado em: 07-07-2026.</w:t>
      </w:r>
    </w:p>
    <w:p>
      <w:pPr/>
      <w:r>
        <w:t>Operationalizing OWASP ASVS Level 1 in CI/CD (2024). Master's thesis, Tampere University. https://trepo.tuni.fi/handle/10024/233001. Acessado em: 07-07-2026.</w:t>
      </w:r>
    </w:p>
    <w:p>
      <w:pPr/>
      <w:r>
        <w:t>SHIELD Framework (2024). Dual-mode black-box security assessment framework. https://github.com/Georges034302/SHIELD-framework. Acessado em: 07-07-2026.</w:t>
      </w:r>
    </w:p>
    <w:p>
      <w:pPr/>
      <w:r>
        <w:t>StackSentry (2024). Automated web application security assessment framework. https://github.com/vickkykruz/sec_audit_framework. Acessado em: 07-07-2026.</w:t>
      </w:r>
    </w:p>
    <w:p>
      <w:pPr/>
      <w:r>
        <w:t>OWASP Foundation (2024). OWASP Software Assurance Maturity Model (SAMM). https://owasp.org/www-project-samm/. Acessado em: 07-07-2026.</w:t>
      </w:r>
    </w:p>
    <w:p>
      <w:pPr/>
      <w:r>
        <w:t>Synopsys (2024). Building Security In Maturity Model (BSIMM). https://www.synopsys.com/software-integrity/software-security-services/bsimm.html. Acessado em: 07-07-2026.</w:t>
      </w:r>
    </w:p>
    <w:p>
      <w:pPr>
        <w:jc w:val="center"/>
      </w:pPr>
      <w:r>
        <w:rPr>
          <w:rFonts w:ascii="Times New Roman" w:hAnsi="Times New Roman"/>
          <w:b/>
          <w:sz w:val="20"/>
        </w:rPr>
        <w:t>Anais Estendidos do SBSeg 2026: SF</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