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Maatregelenoverzicht</w:t>
      </w:r>
    </w:p>
    <w:p>
      <w:pPr>
        <w:pStyle w:val="Normal"/>
      </w:pPr>
      <w:r>
        <w:t xml:space="preserve">Zonder profiel: tekst die van een contextvraag afhangt, telt mee.</w:t>
      </w:r>
    </w:p>
    <w:p>
      <w:pPr>
        <w:pStyle w:val="Normal"/>
      </w:pPr>
      <w:r>
        <w:t xml:space="preserve">Per BIO 2.0-maatregel het beleidsstuk dat hem invult, het hoofdstuk waar dat gebeurt en de controle die de naleving aantoont. Nummers volgens BIO2 v1.3 definitief - 9 januari 2026. Komt een maatregel ook in een ander stuk terug, dan staat dat in de laatste kolom.</w:t>
      </w:r>
    </w:p>
    <w:tbl>
      <w:tblPr>
        <w:tblStyle w:val="Tabel"/>
        <w:tblW w:w="5000" w:type="pct"/>
      </w:tblPr>
      <w:tblGrid>
        <w:gridCol w:w="337"/>
        <w:gridCol w:w="2250"/>
        <w:gridCol w:w="300"/>
        <w:gridCol w:w="1762"/>
        <w:gridCol w:w="2250"/>
        <w:gridCol w:w="1425"/>
        <w:gridCol w:w="1312"/>
      </w:tblGrid>
      <w:tr>
        <w:trPr>
          <w:tblHeader/>
        </w:trPr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Maatregel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Titel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Soort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Beleidsstuk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Hoofdstuk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Controle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rPr>
                <w:b/>
              </w:rPr>
              <w:t xml:space="preserve">Ook in</w:t>
            </w: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Inhoud, vaststelling en inbedding van het 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IVB-01, IVB-02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9. Evaluatie van het 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Rollen en verantwoordelijkheden bij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Samenhang en toewijzing aan de lijn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5.02.02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Rollen en verantwoordelijkheden bij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Organisatie van de beveiligingsfunctie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Functiescheiding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Organisatie van de beveiligingsfunctie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IVB-03, IVB-04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Managementverantwoordelijkheden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Training en bewustzijn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Contact met overheidsinstanties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Contacten met instanties, belangengroepen en dreigingsinformatie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Contact met speciale belangengroepen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Contacten met instanties, belangengroepen en dreigingsinformatie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 en analyses over dreigingen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Contacten met instanties, belangengroepen en dreigingsinformatie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 in projectmanagement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projecten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Wanneer een risicoafweging nodig is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PRJ-01, PRJ-02, PRJ-03, PRJ-04, PRJ-05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5.09.01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Inventarisatie van informatie en andere gerelateerde bedrijfsmiddelen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Inventaris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BMB-01, BMB-02, BMB-08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Aanvaardbaar gebruik van informatie en andere gerelateerde bedrijfsmiddelen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Aanvaardbaar gebruik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5.10.02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Aanvaardbaar gebruik van informatie en andere gerelateerde bedrijfsmiddelen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Aanvaardbaar gebruik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5.10.03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Aanvaardbaar gebruik van informatie en andere gerelateerde bedrijfsmiddelen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Aanvaardbaar gebruik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Retourneren van bedrijfsmiddelen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Teruggeven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Classificeren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Classificatiemethode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CLS-01, CLS-02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Labelen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Labelen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per niveau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5.14.02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5.14.03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5.14.04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5.14.05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informatieclassificatie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Overdragen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CLS-05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Toegang tot de vertrouwde zone en werken op afstand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Identiteitsbeheer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Identiteiten en accounts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5.16.02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Identiteitsbeheer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Identiteiten en accounts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Authenticatie-informatie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Authenticatie en MFA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5.17.02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Authenticatie-informatie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Wachtwoorden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5.17.03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Authenticatie-informatie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Authenticatie en MFA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Toegangsrechten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Identiteiten en accounts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LTB-02, LTB-07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5.18.02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Toegangsrechten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Toegangsrechten en periodieke beoordeling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5.19.01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 in leveranciersrelaties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Risicoafweging en eisen in de uitvraag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INK-01, INK-06, INK-07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Voorwaarden in het contract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INK-01,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Voorwaarden in het contract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INK-02, INK-06, INK-07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Bewijs van de leverancier en eigen onderzoek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INK-03,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Bewijs van de leverancier en eigen onderzoek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INK-03,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Transparantie over kwetsbaarheden en 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INK-04,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5.20.06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Adresseren van informatiebeveiliging in leveranciersovereenkomsten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Afhankelijkheid en exit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INK-04,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Beheren van informatiebeveiliging in de ICT-toeleveringsketen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bij inkoop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Keten van toeleveranciers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INK-05, INK-06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5.21.03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Beheren van informatiebeveiliging in de ICT-toeleveringsketen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Keten van toeleveranciers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5.21.04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Beheren van informatiebeveiliging in de ICT-toeleveringsketen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Keten van toeleveranciers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5.21.05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Beheren van informatiebeveiliging in de ICT-toeleveringsketen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Keten van toeleveranciers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Monitoren, beoordelen en het beheren van wijzigingen van leveranciersdiensten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Jaarlijkse beoordeling van de leverancier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LEV-02, LEV-03, LEV-08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5.22.02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Monitoren, beoordelen en het beheren van wijzigingen van leveranciersdiensten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Register van leveranciers en contracten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 voor het gebruik van clouddiensten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informatiebeveiliging in contractbeheer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Clouddiensten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LEV-06, LEV-07, LEV-08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Meldloket en meldprocedure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SIM-03, SIM-06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Meldloket en meldprocedure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SIM-03, SIM-06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Detectie en escalatie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Afhandelen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Afhandelen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5.24.07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Melden aan externe partijen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SIM-03, SIM-05, SIM-07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5.24.08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Plannen en voorbereiden van het beheer van informatie-beveiligingsincidenten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Coordinated vulnerability disclosure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SIM-01, SIM-06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5.25.02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Beoordelen van en besluiten over informatiebeveiligingsgebeurtenissen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Beoordelen en classificeren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SIM-03, SIM-05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5.26.02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Reageren op informatiebeveiligings-incidenten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Afhandelen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Leren van informatiebeveiligingsincidenten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Melden aan externe partijen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5.27.02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Leren van informatiebeveiligingsincidenten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10. Leren van 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Verzamelen van bewijsmateriaal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9. Bewijs verzamelen en bewaren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5.29.01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Informatiebeveiliging tijdens een verstoring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ICT-continuïteit en uitwijk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Beveiliging tijdens een verstoring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BCDR-06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ICT-gereedheid voor bedrijfscontinuïteit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ICT-continuïteit en uitwijk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Uitwijk en redundantie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BCDR-02, BCDR-03, BCDR-05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5.30.02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ICT-gereedheid voor bedrijfscontinuïteit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ICT-continuïteit en uitwijk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Kritieke processen en systemen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BCDR-01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Wettelijke, statutaire, regelgevende en contractuele 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Wettelijke en contractuele 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Intellectuele-eigendomsrechten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Wettelijke en contractuele 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Beschermen van registraties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Wettelijke en contractuele 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Privacy en bescherming van persoonsgegevens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Wettelijke en contractuele 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5.35.02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Onafhankelijke beoordeling van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Audit en verantwoording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Naleving van beleid, regels en normen voor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Strategisch informatiebeveiligingsbeleid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Audit en verantwoording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IVB-08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5.37.01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Gedocumenteerde bedieningsprocedures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Bedieningsprocedures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Screening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Screening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Arbeidsovereenkomst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Aanstelling en geheimhouding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Bewustwording van, opleiding en training in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Training en bewustzijn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SBO-03, SBO-07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6.03.02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Bewustwording van, opleiding en training in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Training en bewustzijn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6.03.03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Bewustwording van, opleiding en training in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Training en bewustzijn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6.03.04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Bewustwording van, opleiding en training in informatiebeveiliging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Training en bewustzijn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Disciplinaire procedure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Niet naleven en disciplinaire procedure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SBO-07, SBO-08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Verantwoordelijkheden na beëindiging of wijziging van het dienstverband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Functiewijziging en vertrek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Vertrouwelijkheids- of geheimhoudingsovereenkomsten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screening, bewustzijn en opleiding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Aanstelling en geheimhouding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SBO-02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Werken op afstand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Toegang tot de vertrouwde zone en werken op afstand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6.08.01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Melden van informatiebeveiligings-gebeurtenissen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beveiligingsincidenten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Meldloket en meldprocedure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SIM-04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Fysieke beveiligingszones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Beveiligingszones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FYS-01, FYS-09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Fysieke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voor zone 1, openbaar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FYS-02, FYS-03, FYS-04, FYS-08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Beveiligen van kantoren, ruimten en faciliteiten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voor zone 1, openbaar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FYS-05, FYS-09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 van de fysieke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voor zone 1, openbaar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FYS-05, FYS-06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Beschermen tegen fysieke en omgevingsdreigingen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voor zone 1, openbaar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FYS-05, FYS-07, FYS-09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Werken in beveiligde zones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Werken in beveiligde zones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‘Clear desk’ en ‘clear screen’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Clear desk en clear screen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Plaatsen en beschermen van apparatuur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Apparatuur plaatsen en beschermen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BMB-05, BMB-08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7.09.01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Beveiligen van bedrijfsmiddelen buiten het terrein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10. Apparatuur buiten de locaties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Opslagmedia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afvoer en hergebruik van gegevensdragers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Gebruik van verwijderbare media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AHG-01, AHG-03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7.10.02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Opslagmedia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afvoer en hergebruik van gegevensdragers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Wissen en vernietigen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AHG-01, AHG-02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7.10.03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Opslagmedia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afvoer en hergebruik van gegevensdragers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Transport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AHG-04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Nutsvoorzieningen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9. Nutsvoorzieningen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BMB-06, BMB-08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Beveiligen van bekabeling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fysieke toegang en 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Eisen voor zone 1, openbaar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FYS-05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Onderhoud van apparatuur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bedrijfsmiddelenbeheer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11. Onderhoud van apparatuur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BMB-06, BMB-08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7.14.01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Veilig verwijderen of hergebruiken van apparatuur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afvoer en hergebruik van gegevensdragers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Afvoer en hergebruik van apparatuur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AHG-01, AHG-06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User endpoint devices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mobile device 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Zero footprint en bescherming op het apparaat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MDM-03, MDM-04, MDM-06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User endpoint devices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mobile device 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Beheer van apparaten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MDM-01, MDM-02, MDM-04, MDM-05, MDM-06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Speciale toegangsrechten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Toegangsrechten en periodieke beoordeling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Beperking toegang tot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Toegangsrechten en periodieke beoordeling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8.03.02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Beperking toegang tot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Toegangsrechten en periodieke beoordeling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Toegangsbeveiliging op broncode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11. Broncode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Beveiligde authenticatie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9. Toegang voor leveranciers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Capaciteitsbeheer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Techniek ter ondersteuning van naleving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8.07.02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8.07.03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8.07.04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Bescherming tegen malware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Beheer van technische kwetsbaarheden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Kwetsbaarheden vinden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VPM-04, VPM-05, VPM-07, VPM-09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8.08.02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Beheer van technische kwetsbaarheden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Kwetsbaarheden vinden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VPM-04, VPM-05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8.08.03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Beheer van technische kwetsbaarheden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Beoordelen en verhelpen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8.08.04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Beheer van technische kwetsbaarheden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Kwetsbaarheden vinden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8.08.05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Beheer van technische kwetsbaarheden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Kwetsbaarheden vinden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VPM-08, VPM-09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8.09.01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Configuratiebeheer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kwetsbaarheden en patchmanagement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Configuratiebeheer en hardening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VPM-03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Wissen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afvoer en hergebruik van gegevensdragers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Wissen van informatie in systemen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AHG-05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Maskeren van gegevens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Privacy en persoonsgegevens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Voorkomen van gegevenslekken (data leakage prevention)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Privacy en persoonsgegevens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Back-up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back-up en recovery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Back-upplannen en scenario's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BUR-01, BUR-02, BUR-04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8.13.02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Back-up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back-up en recovery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Hersteleisen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BUR-02, BUR-03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8.13.03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Back-up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back-up en recovery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Gescheiden opslag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BUR-02, BUR-05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8.13.04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Back-up van informatie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back-up en recovery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Herstel en testen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BUR-06, BUR-07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Redundantie van informatieverwerkende faciliteiten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ICT-continuïteit en uitwijk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Uitwijk en redundantie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BCDR-04, BCDR-05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Wat er gelogd wordt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Wat er gelogd wordt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Wat er gelogd wordt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Wat er gelogd wordt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Bewaren en beschermen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LOG-01, LOG-04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8.15.06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Bewaren en beschermen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 van activiteiten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Monitoren en detecteren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8.16.02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 van activiteiten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Monitoren en detecteren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8.16.03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 van activiteiten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Monitoren en detecteren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8.16.04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Monitoren van activiteiten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logging en monitoring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Monitoren en detecteren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LOG-05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Kloksynchronisatie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Techniek ter ondersteuning van naleving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speciale systeemhulpmiddelen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Accounts met bijzondere 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8.18.02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speciale systeemhulpmiddelen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logische toegangsbeveiliging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Accounts met bijzondere rechten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LTB-07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8.19.01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Installeren van software op operationele systemen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Software installeren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netwerkcomponenten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Netwerkcomponenten en 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NWB-03, NWB-08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8.20.02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netwerkcomponenten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Netwerkontwerp en segmentatie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NWB-03, NWB-04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van netwerkdiensten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Netwerkontwerp en segmentatie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NWB-02, NWB-05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van netwerkdiensten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Netwerkontwerp en segmentatie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8.21.03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van netwerkdiensten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Koppelpunten en bewaking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8.21.04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Beveiliging van netwerkdiensten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Koppelpunten en bewaking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NWB-08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Netwerksegmentatie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Netwerkontwerp en segmentatie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NWB-01, NWB-02, NWB-04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Toepassen van webfilters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netwerkbeveiliging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Webfilter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NWB-07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Wanneer de organisatie cryptografie inzet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CRY-01, CRY-04, CRY-05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8.24.02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Verantwoordelijkheden en registratie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CRY-02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8.24.04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Normen en sterkte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CRY-03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8.24.05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Gebruik van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cryptografie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Sleutel- en certificaatbeheer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CRY-06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8.25.01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Beveiligen tijdens de ontwikkelcyclus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Veilig ontwikkelen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SSD-04, SSD-05, SSD-06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8.26.01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Toepassingsbeveiligingseisen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4. Beveiligingseisen per toepassing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SSD-02, SSD-03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8.27.01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Veilige systeemarchitectuur en technische uitgangspunten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Architectuurprincipes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SSD-01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8.28.01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Veilig coderen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5. Veilig ontwikkelen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SSD-04, SSD-05, SSD-06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8.29.01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Testen van de beveiliging tijdens ontwikkeling en acceptatie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7. Testen en acceptatie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WZB-07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8.30.01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Uitbestede systeemontwikkeling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Uitbestede ontwikkeling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SSD-06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8.31.01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Scheiding van ontwikkel-, test- en productieomgevingen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Scheiding van omgevingen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8.31.02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Scheiding van ontwikkel-, test- en productieomgevingen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Scheiding van omgevingen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WZB-06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8.32.01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Het wijzigingsproces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WZB-01, WZB-02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8.32.02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overheid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3. Het wijzigingsproces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WZB-03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8.33.01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Testgegevens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wijzigingsbeheer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6. Scheiding van omgevingen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WZB-08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veilige softwareontwikkeling</w:t>
            </w:r>
          </w:p>
        </w:tc>
      </w:tr>
      <w:tr>
        <w:tc>
          <w:tcPr>
            <w:tcW w:w="0" w:type="auto"/>
          </w:tcPr>
          <w:p>
            <w:pPr>
              <w:pStyle w:val="Tabeltekst"/>
            </w:pPr>
            <w:r>
              <w:t xml:space="preserve">8.34.01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Bescherming van informatiesystemen tijdens audits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ISO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Beleid IT-compliance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8. Audits op informatiesystemen</w:t>
            </w:r>
          </w:p>
        </w:tc>
        <w:tc>
          <w:tcPr>
            <w:tcW w:w="0" w:type="auto"/>
          </w:tcPr>
          <w:p>
            <w:pPr>
              <w:pStyle w:val="Tabeltekst"/>
            </w:pPr>
            <w:r>
              <w:t xml:space="preserve">ITC-09</w:t>
            </w:r>
          </w:p>
        </w:tc>
        <w:tc>
          <w:tcPr>
            <w:tcW w:w="0" w:type="auto"/>
          </w:tcPr>
          <w:p>
            <w:pPr>
              <w:pStyle w:val="Tabeltekst"/>
            </w:pPr>
          </w:p>
        </w:tc>
      </w:tr>
    </w:tbl>
    <w:p>
      <w:pPr>
        <w:pStyle w:val="Tabeleinde"/>
      </w:pP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nl-NL"/>
      </w:rPr>
    </w:rPrDefault>
    <w:pPrDefault>
      <w:pPr>
        <w:spacing w:after="120" w:line="264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qFormat/>
    <w:pPr>
      <w:spacing w:after="240"/>
      <w:pBdr>
        <w:bottom w:val="single" w:sz="12" w:space="4" w:color="1F4E79"/>
      </w:pBdr>
    </w:pPr>
    <w:rPr>
      <w:b/>
      <w:color w:val="1F4E79"/>
      <w:sz w:val="40"/>
    </w:rPr>
  </w:style>
  <w:style w:type="paragraph" w:styleId="Heading1">
    <w:name w:val="heading 1"/>
    <w:basedOn w:val="Normal"/>
    <w:qFormat/>
    <w:pPr>
      <w:keepNext/>
      <w:spacing w:before="360" w:after="120"/>
      <w:outlineLvl w:val="0"/>
    </w:pPr>
    <w:rPr>
      <w:b/>
      <w:color w:val="1F4E79"/>
      <w:sz w:val="28"/>
    </w:rPr>
  </w:style>
  <w:style w:type="paragraph" w:styleId="Heading2">
    <w:name w:val="heading 2"/>
    <w:basedOn w:val="Normal"/>
    <w:qFormat/>
    <w:pPr>
      <w:keepNext/>
      <w:spacing w:before="240" w:after="80"/>
      <w:outlineLvl w:val="1"/>
    </w:pPr>
    <w:rPr>
      <w:b/>
      <w:sz w:val="24"/>
    </w:rPr>
  </w:style>
  <w:style w:type="paragraph" w:styleId="Heading3">
    <w:name w:val="heading 3"/>
    <w:basedOn w:val="Normal"/>
    <w:qFormat/>
    <w:pPr>
      <w:keepNext/>
      <w:spacing w:before="200" w:after="60"/>
      <w:outlineLvl w:val="2"/>
    </w:pPr>
    <w:rPr>
      <w:b/>
    </w:rPr>
  </w:style>
  <w:style w:type="paragraph" w:styleId="Lijst">
    <w:name w:val="Lijst"/>
    <w:basedOn w:val="Normal"/>
    <w:qFormat/>
    <w:pPr>
      <w:tabs>
        <w:tab w:val="left" w:pos="425"/>
      </w:tabs>
      <w:spacing w:after="60"/>
      <w:ind w:left="425" w:hanging="425"/>
    </w:pPr>
  </w:style>
  <w:style w:type="paragraph" w:styleId="Kader">
    <w:name w:val="Kader"/>
    <w:basedOn w:val="Normal"/>
    <w:qFormat/>
    <w:pPr>
      <w:pBdr>
        <w:left w:val="single" w:sz="18" w:space="6" w:color="B9770E"/>
      </w:pBdr>
      <w:shd w:val="clear" w:color="auto" w:fill="FDF6E3"/>
      <w:ind w:left="170" w:right="170"/>
    </w:pPr>
  </w:style>
  <w:style w:type="paragraph" w:styleId="Kaderlijst">
    <w:name w:val="Kaderlijst"/>
    <w:basedOn w:val="Normal"/>
    <w:qFormat/>
    <w:pPr>
      <w:pBdr>
        <w:left w:val="single" w:sz="18" w:space="6" w:color="B9770E"/>
      </w:pBdr>
      <w:shd w:val="clear" w:color="auto" w:fill="FDF6E3"/>
      <w:tabs>
        <w:tab w:val="left" w:pos="595"/>
      </w:tabs>
      <w:spacing w:after="60"/>
      <w:ind w:left="595" w:right="170" w:hanging="425"/>
    </w:pPr>
  </w:style>
  <w:style w:type="paragraph" w:styleId="Tabeltekst">
    <w:name w:val="Tabeltekst"/>
    <w:basedOn w:val="Normal"/>
    <w:qFormat/>
    <w:pPr>
      <w:spacing w:after="0" w:line="240" w:lineRule="auto"/>
    </w:pPr>
    <w:rPr>
      <w:sz w:val="18"/>
    </w:rPr>
  </w:style>
  <w:style w:type="paragraph" w:styleId="Tabeleinde">
    <w:name w:val="Tabeleinde"/>
    <w:basedOn w:val="Normal"/>
    <w:qFormat/>
    <w:pPr>
      <w:spacing w:after="0" w:line="120" w:lineRule="exact"/>
    </w:pPr>
  </w:style>
  <w:style w:type="table" w:styleId="Tabel">
    <w:name w:val="Tabel"/>
    <w:tblPr>
      <w:tblBorders>
        <w:top w:val="single" w:sz="4" w:space="0" w:color="C9D1DC"/>
        <w:left w:val="single" w:sz="4" w:space="0" w:color="C9D1DC"/>
        <w:bottom w:val="single" w:sz="4" w:space="0" w:color="C9D1DC"/>
        <w:right w:val="single" w:sz="4" w:space="0" w:color="C9D1DC"/>
        <w:insideH w:val="single" w:sz="4" w:space="0" w:color="C9D1DC"/>
        <w:insideV w:val="single" w:sz="4" w:space="0" w:color="C9D1DC"/>
      </w:tblBorders>
      <w:tblCellMar>
        <w:top w:w="40" w:type="dxa"/>
        <w:left w:w="80" w:type="dxa"/>
        <w:bottom w:w="4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