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Microsoft Purview Endpoint DLP: Preventing Copy/Paste and Upload of Labeled Data to Unsanctioned Storage</w:t>
      </w:r>
    </w:p>
    <w:sdt>
      <w:sdtPr>
        <w:docPartObj>
          <w:docPartGallery w:val="Table of Contents"/>
          <w:docPartUnique/>
        </w:docPartObj>
      </w:sdtPr>
      <w:sdtContent>
        <w:p>
          <w:pPr>
            <w:pStyle w:val="TOCHeading"/>
          </w:pPr>
          <w:r>
            <w:t xml:space="preserve">Table of Contents</w:t>
          </w:r>
        </w:p>
        <w:p>
          <w:pPr>
            <w:pStyle w:val="TOC2"/>
            <w:ind w:left="440"/>
            <w:spacing w:after="40"/>
          </w:pPr>
          <w:r>
            <w:rPr>
              <w:sz w:val="20"/>
            </w:rPr>
            <w:t xml:space="preserve">1. Summary</w:t>
          </w:r>
        </w:p>
        <w:p>
          <w:pPr>
            <w:pStyle w:val="TOC2"/>
            <w:ind w:left="440"/>
            <w:spacing w:after="40"/>
          </w:pPr>
          <w:r>
            <w:rPr>
              <w:sz w:val="20"/>
            </w:rPr>
            <w:t xml:space="preserve">2. Scope and assumptions</w:t>
          </w:r>
        </w:p>
        <w:p>
          <w:pPr>
            <w:pStyle w:val="TOC2"/>
            <w:ind w:left="440"/>
            <w:spacing w:after="40"/>
          </w:pPr>
          <w:r>
            <w:rPr>
              <w:sz w:val="20"/>
            </w:rPr>
            <w:t xml:space="preserve">3. Definitions</w:t>
          </w:r>
        </w:p>
        <w:p>
          <w:pPr>
            <w:pStyle w:val="TOC2"/>
            <w:ind w:left="440"/>
            <w:spacing w:after="40"/>
          </w:pPr>
          <w:r>
            <w:rPr>
              <w:sz w:val="20"/>
            </w:rPr>
            <w:t xml:space="preserve">4. Sanction model (the lists that drive every decision)</w:t>
          </w:r>
        </w:p>
        <w:p>
          <w:pPr>
            <w:pStyle w:val="TOC2"/>
            <w:ind w:left="440"/>
            <w:spacing w:after="40"/>
          </w:pPr>
          <w:r>
            <w:rPr>
              <w:sz w:val="20"/>
            </w:rPr>
            <w:t xml:space="preserve">5. Use cases</w:t>
          </w:r>
        </w:p>
        <w:p>
          <w:pPr>
            <w:pStyle w:val="TOC2"/>
            <w:ind w:left="440"/>
            <w:spacing w:after="40"/>
          </w:pPr>
          <w:r>
            <w:rPr>
              <w:sz w:val="20"/>
            </w:rPr>
            <w:t xml:space="preserve">6. Control mapping</w:t>
          </w:r>
        </w:p>
        <w:p>
          <w:pPr>
            <w:pStyle w:val="TOC2"/>
            <w:ind w:left="440"/>
            <w:spacing w:after="40"/>
          </w:pPr>
          <w:r>
            <w:rPr>
              <w:sz w:val="20"/>
            </w:rPr>
            <w:t xml:space="preserve">7. Policy design</w:t>
          </w:r>
        </w:p>
        <w:p>
          <w:pPr>
            <w:pStyle w:val="TOC2"/>
            <w:ind w:left="440"/>
            <w:spacing w:after="40"/>
          </w:pPr>
          <w:r>
            <w:rPr>
              <w:sz w:val="20"/>
            </w:rPr>
            <w:t xml:space="preserve">8. Implementation plan</w:t>
          </w:r>
        </w:p>
        <w:p>
          <w:pPr>
            <w:pStyle w:val="TOC2"/>
            <w:ind w:left="440"/>
            <w:spacing w:after="40"/>
          </w:pPr>
          <w:r>
            <w:rPr>
              <w:sz w:val="20"/>
            </w:rPr>
            <w:t xml:space="preserve">9. Test pack and acceptance criteria</w:t>
          </w:r>
        </w:p>
        <w:p>
          <w:pPr>
            <w:pStyle w:val="TOC2"/>
            <w:ind w:left="440"/>
            <w:spacing w:after="40"/>
          </w:pPr>
          <w:r>
            <w:rPr>
              <w:sz w:val="20"/>
            </w:rPr>
            <w:t xml:space="preserve">10. Known limitations and residual risks</w:t>
          </w:r>
        </w:p>
        <w:p>
          <w:pPr>
            <w:pStyle w:val="TOC2"/>
            <w:ind w:left="440"/>
            <w:spacing w:after="40"/>
          </w:pPr>
          <w:r>
            <w:rPr>
              <w:sz w:val="20"/>
            </w:rPr>
            <w:t xml:space="preserve">11. Complementary controls</w:t>
          </w:r>
        </w:p>
        <w:p>
          <w:pPr>
            <w:pStyle w:val="TOC2"/>
            <w:ind w:left="440"/>
            <w:spacing w:after="40"/>
          </w:pPr>
          <w:r>
            <w:rPr>
              <w:sz w:val="20"/>
            </w:rPr>
            <w:t xml:space="preserve">12. Open items and information needed</w:t>
          </w:r>
        </w:p>
        <w:p>
          <w:pPr>
            <w:pStyle w:val="TOC2"/>
            <w:ind w:left="440"/>
            <w:spacing w:after="40"/>
          </w:pPr>
          <w:r>
            <w:rPr>
              <w:sz w:val="20"/>
            </w:rPr>
            <w:t xml:space="preserve">13. References (Microsoft Learn, accessed 2026-10-23)</w:t>
          </w:r>
        </w:p>
        <w:p>
          <w:pPr>
            <w:pStyle w:val="TOC2"/>
            <w:ind w:left="440"/>
            <w:spacing w:after="40"/>
          </w:pPr>
          <w:r>
            <w:rPr>
              <w:sz w:val="20"/>
            </w:rPr>
            <w:t xml:space="preserve">Annex A. Adversarial review (red team, 2026-10-23)</w:t>
          </w:r>
        </w:p>
        <w:p>
          <w:r>
            <w:fldChar w:fldCharType="begin" w:dirty="true"/>
            <w:instrText xml:space="preserve">TOC \o "1-2" \h \z \u</w:instrText>
            <w:fldChar w:fldCharType="separate"/>
            <w:fldChar w:fldCharType="end"/>
          </w:r>
        </w:p>
      </w:sdtContent>
    </w:sdt>
    <w:p>
      <w:pPr>
        <w:pStyle w:val="FirstParagraph"/>
      </w:pPr>
      <w:r>
        <w:rPr>
          <w:bCs/>
          <w:b/>
        </w:rPr>
        <w:t xml:space="preserve">Use cases and implementation plan</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65"/>
        <w:gridCol w:w="8300"/>
      </w:tblGrid>
      <w:tr>
        <w:trPr>
          <w:tblHeader w:val="true"/>
          <w:tblHeader w:val="true"/>
        </w:trPr>
        <w:tc>
          <w:tcPr>
            <w:tcW w:type="dxa" w:w="1565"/>
            <w:shd w:val="clear" w:color="auto" w:fill="DCE6F1"/>
          </w:tcPr>
          <w:p>
            <w:pPr>
              <w:pStyle w:val="Compact"/>
              <w:spacing w:after="20" w:before="20"/>
              <w:jc w:val="left"/>
            </w:pPr>
            <w:r>
              <w:rPr>
                <w:b/>
                <w:sz w:val="17"/>
              </w:rPr>
              <w:t xml:space="preserve">Item</w:t>
            </w:r>
          </w:p>
        </w:tc>
        <w:tc>
          <w:tcPr>
            <w:tcW w:type="dxa" w:w="8300"/>
            <w:shd w:val="clear" w:color="auto" w:fill="DCE6F1"/>
          </w:tcPr>
          <w:p>
            <w:pPr>
              <w:pStyle w:val="Compact"/>
              <w:spacing w:after="20" w:before="20"/>
              <w:jc w:val="left"/>
            </w:pPr>
            <w:r>
              <w:rPr>
                <w:b/>
                <w:sz w:val="17"/>
              </w:rPr>
              <w:t xml:space="preserve">Value</w:t>
            </w:r>
          </w:p>
        </w:tc>
      </w:tr>
      <w:tr>
        <w:tc>
          <w:tcPr>
            <w:tcW w:type="dxa" w:w="1565"/>
          </w:tcPr>
          <w:p>
            <w:pPr>
              <w:pStyle w:val="Compact"/>
              <w:spacing w:after="20" w:before="20"/>
              <w:jc w:val="left"/>
            </w:pPr>
            <w:r>
              <w:rPr>
                <w:sz w:val="17"/>
              </w:rPr>
              <w:t xml:space="preserve">Status</w:t>
            </w:r>
          </w:p>
        </w:tc>
        <w:tc>
          <w:tcPr>
            <w:tcW w:type="dxa" w:w="8300"/>
          </w:tcPr>
          <w:p>
            <w:pPr>
              <w:pStyle w:val="Compact"/>
              <w:spacing w:after="20" w:before="20"/>
              <w:jc w:val="left"/>
            </w:pPr>
            <w:r>
              <w:rPr>
                <w:sz w:val="17"/>
              </w:rPr>
              <w:t xml:space="preserve">Draft v0.3 for review. Red-teamed on 2026-10-23; findings and pending decisions are in Annex A</w:t>
            </w:r>
          </w:p>
        </w:tc>
      </w:tr>
      <w:tr>
        <w:tc>
          <w:tcPr>
            <w:tcW w:type="dxa" w:w="1565"/>
          </w:tcPr>
          <w:p>
            <w:pPr>
              <w:pStyle w:val="Compact"/>
              <w:spacing w:after="20" w:before="20"/>
              <w:jc w:val="left"/>
            </w:pPr>
            <w:r>
              <w:rPr>
                <w:sz w:val="17"/>
              </w:rPr>
              <w:t xml:space="preserve">Date</w:t>
            </w:r>
          </w:p>
        </w:tc>
        <w:tc>
          <w:tcPr>
            <w:tcW w:type="dxa" w:w="8300"/>
          </w:tcPr>
          <w:p>
            <w:pPr>
              <w:pStyle w:val="Compact"/>
              <w:spacing w:after="20" w:before="20"/>
              <w:jc w:val="left"/>
            </w:pPr>
            <w:r>
              <w:rPr>
                <w:sz w:val="17"/>
              </w:rPr>
              <w:t xml:space="preserve">2026-10-23</w:t>
            </w:r>
          </w:p>
        </w:tc>
      </w:tr>
      <w:tr>
        <w:tc>
          <w:tcPr>
            <w:tcW w:type="dxa" w:w="1565"/>
          </w:tcPr>
          <w:p>
            <w:pPr>
              <w:pStyle w:val="Compact"/>
              <w:spacing w:after="20" w:before="20"/>
              <w:jc w:val="left"/>
            </w:pPr>
            <w:r>
              <w:rPr>
                <w:sz w:val="17"/>
              </w:rPr>
              <w:t xml:space="preserve">Context</w:t>
            </w:r>
          </w:p>
        </w:tc>
        <w:tc>
          <w:tcPr>
            <w:tcW w:type="dxa" w:w="8300"/>
          </w:tcPr>
          <w:p>
            <w:pPr>
              <w:pStyle w:val="Compact"/>
              <w:spacing w:after="20" w:before="20"/>
              <w:jc w:val="left"/>
            </w:pPr>
            <w:r>
              <w:rPr>
                <w:sz w:val="17"/>
              </w:rPr>
              <w:t xml:space="preserve">apoBank employees working from home on corporate-managed devices connected to their home LAN, where personal NAS appliances (Synology, QNAP, Western Digital, TrueNAS, and similar) are present</w:t>
            </w:r>
          </w:p>
        </w:tc>
      </w:tr>
      <w:tr>
        <w:tc>
          <w:tcPr>
            <w:tcW w:type="dxa" w:w="1565"/>
          </w:tcPr>
          <w:p>
            <w:pPr>
              <w:pStyle w:val="Compact"/>
              <w:spacing w:after="20" w:before="20"/>
              <w:jc w:val="left"/>
            </w:pPr>
            <w:r>
              <w:rPr>
                <w:sz w:val="17"/>
              </w:rPr>
              <w:t xml:space="preserve">Target platform</w:t>
            </w:r>
          </w:p>
        </w:tc>
        <w:tc>
          <w:tcPr>
            <w:tcW w:type="dxa" w:w="8300"/>
          </w:tcPr>
          <w:p>
            <w:pPr>
              <w:pStyle w:val="Compact"/>
              <w:spacing w:after="20" w:before="20"/>
              <w:jc w:val="left"/>
            </w:pPr>
            <w:r>
              <w:rPr>
                <w:sz w:val="17"/>
              </w:rPr>
              <w:t xml:space="preserve">Microsoft Purview Data Loss Prevention (Endpoint DLP), with Microsoft Defender for Cloud Apps as a complementary control</w:t>
            </w:r>
          </w:p>
        </w:tc>
      </w:tr>
      <w:tr>
        <w:tc>
          <w:tcPr>
            <w:tcW w:type="dxa" w:w="1565"/>
          </w:tcPr>
          <w:p>
            <w:pPr>
              <w:pStyle w:val="Compact"/>
              <w:spacing w:after="20" w:before="20"/>
              <w:jc w:val="left"/>
            </w:pPr>
            <w:r>
              <w:rPr>
                <w:sz w:val="17"/>
              </w:rPr>
              <w:t xml:space="preserve">Decision basis</w:t>
            </w:r>
          </w:p>
        </w:tc>
        <w:tc>
          <w:tcPr>
            <w:tcW w:type="dxa" w:w="8300"/>
          </w:tcPr>
          <w:p>
            <w:pPr>
              <w:pStyle w:val="Compact"/>
              <w:spacing w:after="20" w:before="20"/>
              <w:jc w:val="left"/>
            </w:pPr>
            <w:r>
              <w:rPr>
                <w:sz w:val="17"/>
              </w:rPr>
              <w:t xml:space="preserve">Sensitivity labels applied by Microsoft Purview</w:t>
            </w:r>
          </w:p>
        </w:tc>
      </w:tr>
      <w:tr>
        <w:tc>
          <w:tcPr>
            <w:tcW w:type="dxa" w:w="1565"/>
          </w:tcPr>
          <w:p>
            <w:pPr>
              <w:pStyle w:val="Compact"/>
              <w:spacing w:after="20" w:before="20"/>
              <w:jc w:val="left"/>
            </w:pPr>
            <w:r>
              <w:rPr>
                <w:sz w:val="17"/>
              </w:rPr>
              <w:t xml:space="preserve">Devices in scope</w:t>
            </w:r>
          </w:p>
        </w:tc>
        <w:tc>
          <w:tcPr>
            <w:tcW w:type="dxa" w:w="8300"/>
          </w:tcPr>
          <w:p>
            <w:pPr>
              <w:pStyle w:val="Compact"/>
              <w:spacing w:after="20" w:before="20"/>
              <w:jc w:val="left"/>
            </w:pPr>
            <w:r>
              <w:rPr>
                <w:sz w:val="17"/>
              </w:rPr>
              <w:t xml:space="preserve">Windows 10/11 and macOS endpoints onboarded to Purview</w:t>
            </w:r>
          </w:p>
        </w:tc>
      </w:tr>
      <w:tr>
        <w:tc>
          <w:tcPr>
            <w:tcW w:type="dxa" w:w="1565"/>
          </w:tcPr>
          <w:p>
            <w:pPr>
              <w:pStyle w:val="Compact"/>
              <w:spacing w:after="20" w:before="20"/>
              <w:jc w:val="left"/>
            </w:pPr>
            <w:r>
              <w:rPr>
                <w:sz w:val="17"/>
              </w:rPr>
              <w:t xml:space="preserve">Facts verified against</w:t>
            </w:r>
          </w:p>
        </w:tc>
        <w:tc>
          <w:tcPr>
            <w:tcW w:type="dxa" w:w="8300"/>
          </w:tcPr>
          <w:p>
            <w:pPr>
              <w:pStyle w:val="Compact"/>
              <w:spacing w:after="20" w:before="20"/>
              <w:jc w:val="left"/>
            </w:pPr>
            <w:r>
              <w:rPr>
                <w:sz w:val="17"/>
              </w:rPr>
              <w:t xml:space="preserve">Microsoft Learn, as published on 2026-10-23 (links in section 13)</w:t>
            </w:r>
          </w:p>
        </w:tc>
      </w:tr>
    </w:tbl>
    <w:p>
      <w:pPr>
        <w:pStyle w:val="BodyText"/>
      </w:pPr>
      <w:r>
        <w:t xml:space="preserve">Fields marked</w:t>
      </w:r>
      <w:r>
        <w:t xml:space="preserve"> </w:t>
      </w:r>
      <w:r>
        <w:rPr>
          <w:rStyle w:val="VerbatimChar"/>
          <w:bCs/>
          <w:b/>
        </w:rPr>
        <w:t xml:space="preserve">[TBD]</w:t>
      </w:r>
      <w:r>
        <w:t xml:space="preserve"> </w:t>
      </w:r>
      <w:r>
        <w:t xml:space="preserve">are intentionally blank. They need input from the business or the infrastructure team before the build phase starts. Section 12 lists all of them in one place.</w:t>
      </w:r>
    </w:p>
    <w:p>
      <w:r>
        <w:pict>
          <v:rect style="width:0;height:1.5pt" o:hralign="center" o:hrstd="t" o:hr="t"/>
        </w:pict>
      </w:r>
    </w:p>
    <w:bookmarkStart w:id="20" w:name="X54a346158e1c9302d737b408239f1b33007b474"/>
    <w:p>
      <w:pPr>
        <w:pStyle w:val="Heading2"/>
      </w:pPr>
      <w:r>
        <w:t xml:space="preserve">1. Summary</w:t>
      </w:r>
    </w:p>
    <w:p>
      <w:pPr>
        <w:pStyle w:val="FirstParagraph"/>
      </w:pPr>
      <w:r>
        <w:t xml:space="preserve">Users must not move labeled documents, or text copied out of them, to storage the organization has not sanctioned. Unsanctioned storage includes employees' personal NAS appliances on their home LAN (reached over SMB/CIFS, the vendor's web interface, FTP/SFTP, or a vendor relay service such as Synology QuickConnect), consumer and third-party cloud storage, and arbitrary websites.</w:t>
      </w:r>
    </w:p>
    <w:p>
      <w:pPr>
        <w:pStyle w:val="BodyText"/>
      </w:pPr>
      <w:r>
        <w:t xml:space="preserve">Sanctioned storage today is Microsoft 365 (SharePoint Online, OneDrive for Business, Teams, Exchange Online), plus any corporate file servers that still exist on the bank's network. Corporate file server paths are not yet known and are left blank. Home NAS appliances are never sanctioned. They cannot be enumerated in advance, so the design does not try to list them. Every network share, LAN web address, and sync client that is not on a short corporate allow list is treated as unsanctioned.</w:t>
      </w:r>
    </w:p>
    <w:p>
      <w:pPr>
        <w:pStyle w:val="BodyText"/>
      </w:pPr>
      <w:r>
        <w:t xml:space="preserve">The decision "is this file protected" is made by the sensitivity label on the file. The decision "is this destination allowed" is made by allow lists configured in Purview Endpoint DLP settings: network share groups, service domains, sensitive service domain groups, and restricted app groups. Everything outside those lists is denied for the activities Endpoint DLP monitors: copy to network share, browser upload and paste, clipboard, FTP/SFTP, and access by restricted apps. Egress outside that activity list, such as non-browser network uploads, email, and access to Microsoft 365 from personal devices, is not governed by these lists. Annex A covers those paths.</w:t>
      </w:r>
    </w:p>
    <w:p>
      <w:pPr>
        <w:pStyle w:val="BodyText"/>
      </w:pPr>
      <w:r>
        <w:t xml:space="preserve">The control point is the endpoint itself. Purview Endpoint DLP runs inside Microsoft Defender on the device and intercepts the egress activity (copy to share, upload in browser, copy to clipboard, paste to browser, FTP transfer) at the moment it happens. No network appliance or proxy is required for the core use cases. This keeps the design simple, but it also means the design inherits every gap in the endpoint's activity coverage (Annex A, RT-03).</w:t>
      </w:r>
    </w:p>
    <w:p>
      <w:pPr>
        <w:pStyle w:val="BodyText"/>
      </w:pPr>
      <w:r>
        <w:t xml:space="preserve">The plan runs in six phases: prerequisites and discovery, design sign-off, build, simulation, block-with-override pilot, and enforced rollout with ongoing operations.</w:t>
      </w:r>
    </w:p>
    <w:p>
      <w:r>
        <w:pict>
          <v:rect style="width:0;height:1.5pt" o:hralign="center" o:hrstd="t" o:hr="t"/>
        </w:pict>
      </w:r>
    </w:p>
    <w:bookmarkEnd w:id="20"/>
    <w:bookmarkStart w:id="24" w:name="X62097450b688a91f82c59f3bd1049ec44ca507d"/>
    <w:p>
      <w:pPr>
        <w:pStyle w:val="Heading2"/>
      </w:pPr>
      <w:r>
        <w:t xml:space="preserve">2. Scope and assumptions</w:t>
      </w:r>
    </w:p>
    <w:bookmarkStart w:id="21" w:name="Xee9968e576af67a8624d7c47cdba3f79151f5d9"/>
    <w:p>
      <w:pPr>
        <w:pStyle w:val="Heading3"/>
      </w:pPr>
      <w:r>
        <w:t xml:space="preserve">2.1 In scope</w:t>
      </w:r>
    </w:p>
    <w:p>
      <w:pPr>
        <w:numPr>
          <w:ilvl w:val="0"/>
          <w:numId w:val="1001"/>
        </w:numPr>
        <w:pStyle w:val="Compact"/>
      </w:pPr>
      <w:r>
        <w:t xml:space="preserve">Labeled files on onboarded Windows 10/11 and macOS devices.</w:t>
      </w:r>
    </w:p>
    <w:p>
      <w:pPr>
        <w:numPr>
          <w:ilvl w:val="0"/>
          <w:numId w:val="1001"/>
        </w:numPr>
        <w:pStyle w:val="Compact"/>
      </w:pPr>
      <w:r>
        <w:t xml:space="preserve">Egress to: SMB/CIFS network shares (home NAS, any other share), NAS web interfaces on the home LAN, NAS vendor relay services reachable from the internet, cloud storage websites, generic websites (paste), FTP/SFTP servers, desktop sync clients, and device backup tools that target a NAS.</w:t>
      </w:r>
    </w:p>
    <w:p>
      <w:pPr>
        <w:numPr>
          <w:ilvl w:val="0"/>
          <w:numId w:val="1001"/>
        </w:numPr>
        <w:pStyle w:val="Compact"/>
      </w:pPr>
      <w:r>
        <w:t xml:space="preserve">Clipboard copy out of labeled files, and paste of sensitive text into browsers.</w:t>
      </w:r>
    </w:p>
    <w:p>
      <w:pPr>
        <w:numPr>
          <w:ilvl w:val="0"/>
          <w:numId w:val="1001"/>
        </w:numPr>
        <w:pStyle w:val="Compact"/>
      </w:pPr>
      <w:r>
        <w:t xml:space="preserve">Home office as the primary working location. The device is on an untrusted LAN that the bank does not control.</w:t>
      </w:r>
    </w:p>
    <w:bookmarkEnd w:id="21"/>
    <w:bookmarkStart w:id="22" w:name="Xbda246645cb19c599777223051de0181de9588d"/>
    <w:p>
      <w:pPr>
        <w:pStyle w:val="Heading3"/>
      </w:pPr>
      <w:r>
        <w:t xml:space="preserve">2.2 Out of scope (for this phase)</w:t>
      </w:r>
    </w:p>
    <w:p>
      <w:pPr>
        <w:numPr>
          <w:ilvl w:val="0"/>
          <w:numId w:val="1002"/>
        </w:numPr>
        <w:pStyle w:val="Compact"/>
      </w:pPr>
      <w:r>
        <w:t xml:space="preserve">Linux endpoints, iOS, Android, and unmanaged (BYOD) devices. Endpoint DLP does not run there.</w:t>
      </w:r>
    </w:p>
    <w:p>
      <w:pPr>
        <w:numPr>
          <w:ilvl w:val="0"/>
          <w:numId w:val="1002"/>
        </w:numPr>
        <w:pStyle w:val="Compact"/>
      </w:pPr>
      <w:r>
        <w:t xml:space="preserve">Data at rest already sitting on home NAS devices. No bank tool can reach an employee's home NAS. The Purview Information Protection scanner and on-premises repository DLP cover only bank-operated repositories. Copies that reached home NAS devices before rollout can only be addressed through HR and attestation processes (Annex A, accepted blind spots). Corrected in v0.3.</w:t>
      </w:r>
    </w:p>
    <w:p>
      <w:pPr>
        <w:numPr>
          <w:ilvl w:val="0"/>
          <w:numId w:val="1002"/>
        </w:numPr>
        <w:pStyle w:val="Compact"/>
      </w:pPr>
      <w:r>
        <w:t xml:space="preserve">Email and Teams message egress. Covered by Exchange and Teams DLP locations, which are separate policies.</w:t>
      </w:r>
      <w:r>
        <w:t xml:space="preserve"> </w:t>
      </w:r>
      <w:r>
        <w:rPr>
          <w:bCs/>
          <w:b/>
        </w:rPr>
        <w:t xml:space="preserve">Red-team note:</w:t>
      </w:r>
      <w:r>
        <w:t xml:space="preserve"> </w:t>
      </w:r>
      <w:r>
        <w:t xml:space="preserve">those separate policies are a prerequisite, not an optional extra, because this design explicitly allows attaching labeled files in Outlook on the web and Teams (Annex A, RT-01).</w:t>
      </w:r>
    </w:p>
    <w:p>
      <w:pPr>
        <w:numPr>
          <w:ilvl w:val="0"/>
          <w:numId w:val="1002"/>
        </w:numPr>
        <w:pStyle w:val="Compact"/>
      </w:pPr>
      <w:r>
        <w:t xml:space="preserve">Screenshots, photos of screens, and retyping. No DLP product prevents these reliably.</w:t>
      </w:r>
    </w:p>
    <w:bookmarkEnd w:id="22"/>
    <w:bookmarkStart w:id="23" w:name="X82be7b12b847067164207b2a5a45e5795e5e109"/>
    <w:p>
      <w:pPr>
        <w:pStyle w:val="Heading3"/>
      </w:pPr>
      <w:r>
        <w:t xml:space="preserve">2.3 Assumptions and flagged uncertainties</w:t>
      </w:r>
    </w:p>
    <w:p>
      <w:pPr>
        <w:numPr>
          <w:ilvl w:val="0"/>
          <w:numId w:val="1003"/>
        </w:numPr>
        <w:pStyle w:val="Compact"/>
      </w:pPr>
      <w:r>
        <w:rPr>
          <w:bCs/>
          <w:b/>
        </w:rPr>
        <w:t xml:space="preserve">"Microsoft Defender for Cloud" is assumed to mean "Microsoft Defender for Cloud Apps".</w:t>
      </w:r>
      <w:r>
        <w:t xml:space="preserve"> </w:t>
      </w:r>
      <w:r>
        <w:t xml:space="preserve">Defender for Cloud is Azure workload protection and has no role here. Defender for Cloud Apps (formerly MCAS) provides shadow IT discovery, unsanctioned app blocking, and session controls for SaaS apps. This document treats it as a complementary control, not the primary one. Confidence that this is the intended product: high, but please confirm.</w:t>
      </w:r>
    </w:p>
    <w:p>
      <w:pPr>
        <w:numPr>
          <w:ilvl w:val="0"/>
          <w:numId w:val="1003"/>
        </w:numPr>
        <w:pStyle w:val="Compact"/>
      </w:pPr>
      <w:r>
        <w:rPr>
          <w:bCs/>
          <w:b/>
        </w:rPr>
        <w:t xml:space="preserve">Labels are applied and reliable.</w:t>
      </w:r>
      <w:r>
        <w:t xml:space="preserve"> </w:t>
      </w:r>
      <w:r>
        <w:t xml:space="preserve">Endpoint DLP can only enforce label-based rules on files that carry a label. If labeling coverage is partial, sensitive files without labels pass through. Section 10 proposes a mitigation (sensitive information types as a second condition, default labels, and the "document could not be scanned" rule).</w:t>
      </w:r>
    </w:p>
    <w:p>
      <w:pPr>
        <w:numPr>
          <w:ilvl w:val="0"/>
          <w:numId w:val="1003"/>
        </w:numPr>
        <w:pStyle w:val="Compact"/>
      </w:pPr>
      <w:r>
        <w:rPr>
          <w:bCs/>
          <w:b/>
        </w:rPr>
        <w:t xml:space="preserve">Licensing exists.</w:t>
      </w:r>
      <w:r>
        <w:t xml:space="preserve"> </w:t>
      </w:r>
      <w:r>
        <w:t xml:space="preserve">Endpoint DLP requires Microsoft 365 E5/A5, Microsoft 365 E5 Compliance, or Microsoft 365 E5 Information Protection and Governance for every user in scope. Defender for Cloud Apps requires its own license (included in Microsoft 365 E5 and EMS E5). Confidence: high.</w:t>
      </w:r>
    </w:p>
    <w:p>
      <w:pPr>
        <w:numPr>
          <w:ilvl w:val="0"/>
          <w:numId w:val="1003"/>
        </w:numPr>
        <w:pStyle w:val="Compact"/>
      </w:pPr>
      <w:r>
        <w:rPr>
          <w:bCs/>
          <w:b/>
        </w:rPr>
        <w:t xml:space="preserve">Devices are already onboarded to Microsoft Defender for Endpoint, or can be.</w:t>
      </w:r>
      <w:r>
        <w:t xml:space="preserve"> </w:t>
      </w:r>
      <w:r>
        <w:t xml:space="preserve">Onboarding to Defender for Endpoint also onboards devices to Purview; only "Turn on device monitoring" is then needed. macOS devices need Intune, Jamf Pro, or another MDM. Confidence: high.</w:t>
      </w:r>
    </w:p>
    <w:p>
      <w:pPr>
        <w:numPr>
          <w:ilvl w:val="0"/>
          <w:numId w:val="1003"/>
        </w:numPr>
        <w:pStyle w:val="Compact"/>
      </w:pPr>
      <w:r>
        <w:rPr>
          <w:bCs/>
          <w:b/>
        </w:rPr>
        <w:t xml:space="preserve">Microsoft Edge is the primary browser, or Chrome/Firefox can be managed.</w:t>
      </w:r>
      <w:r>
        <w:t xml:space="preserve"> </w:t>
      </w:r>
      <w:r>
        <w:t xml:space="preserve">Full browser coverage on Windows needs Edge, or Chrome/Firefox with the Microsoft Purview extension deployed and pinned by policy. On macOS no extension is needed: Microsoft lists Edge, Safari, Chrome, and Firefox as supported browsers for Endpoint DLP, which relies on an operating-system permission held by the Endpoint DLP client (Accessibility, or Device Control and Data Access from macOS 27). Confidence: high. Corrected in v0.3; v0.2 wrongly stated that Chrome and Firefox were unsupported on macOS.</w:t>
      </w:r>
    </w:p>
    <w:p>
      <w:pPr>
        <w:numPr>
          <w:ilvl w:val="0"/>
          <w:numId w:val="1003"/>
        </w:numPr>
        <w:pStyle w:val="Compact"/>
      </w:pPr>
      <w:r>
        <w:rPr>
          <w:bCs/>
          <w:b/>
        </w:rPr>
        <w:t xml:space="preserve">Home NAS appliances cannot be enumerated and are never sanctioned.</w:t>
      </w:r>
      <w:r>
        <w:t xml:space="preserve"> </w:t>
      </w:r>
      <w:r>
        <w:t xml:space="preserve">Employees' home devices change, use private IP ranges that overlap with every other home, and are reachable by hostnames the bank does not know. The design therefore relies on deny-by-default allow lists, not on block lists of known NAS devices. Any corporate file servers that must remain reachable (for example, over VPN) are the only entries on the network share allow list. Confidence that this is the right stance: high.</w:t>
      </w:r>
    </w:p>
    <w:p>
      <w:pPr>
        <w:numPr>
          <w:ilvl w:val="0"/>
          <w:numId w:val="1003"/>
        </w:numPr>
        <w:pStyle w:val="Compact"/>
      </w:pPr>
      <w:r>
        <w:rPr>
          <w:bCs/>
          <w:b/>
        </w:rPr>
        <w:t xml:space="preserve">Devices work from home most of the time, often over a VPN.</w:t>
      </w:r>
      <w:r>
        <w:t xml:space="preserve"> </w:t>
      </w:r>
      <w:r>
        <w:t xml:space="preserve">Endpoint DLP enforcement does not depend on network location; the same rules apply on the home LAN, on VPN, and in the office. The optional VPN-based network exceptions (Windows only) are not used in the first phase, to keep behavior predictable.</w:t>
      </w:r>
    </w:p>
    <w:p>
      <w:pPr>
        <w:numPr>
          <w:ilvl w:val="0"/>
          <w:numId w:val="1003"/>
        </w:numPr>
        <w:pStyle w:val="Compact"/>
      </w:pPr>
      <w:r>
        <w:rPr>
          <w:bCs/>
          <w:b/>
        </w:rPr>
        <w:t xml:space="preserve">German employee-monitoring law applies.</w:t>
      </w:r>
      <w:r>
        <w:t xml:space="preserve"> </w:t>
      </w:r>
      <w:r>
        <w:t xml:space="preserve">Endpoint DLP records user activity and can collect copies of files. In Germany the introduction of technical systems capable of monitoring employee behavior is subject to works council co-determination, and GDPR applies to the processing of the activity data. The works council and the data protection officer must be involved before simulation starts, not after. This is a project dependency, not a technical one. Confidence that co-determination applies: high; the exact procedure is for legal and HR to define.</w:t>
      </w:r>
    </w:p>
    <w:p>
      <w:pPr>
        <w:numPr>
          <w:ilvl w:val="0"/>
          <w:numId w:val="1003"/>
        </w:numPr>
        <w:pStyle w:val="Compact"/>
      </w:pPr>
      <w:r>
        <w:rPr>
          <w:bCs/>
          <w:b/>
        </w:rPr>
        <w:t xml:space="preserve">The bank is a regulated institution.</w:t>
      </w:r>
      <w:r>
        <w:t xml:space="preserve"> </w:t>
      </w:r>
      <w:r>
        <w:t xml:space="preserve">Supervisory expectations for information security (for example BAIT/MaRisk and DORA) favor documented, tested, auditable controls. The simulation and test-pack evidence produced in Phases 3 to 5 should be retained for audit.</w:t>
      </w:r>
    </w:p>
    <w:p>
      <w:r>
        <w:pict>
          <v:rect style="width:0;height:1.5pt" o:hralign="center" o:hrstd="t" o:hr="t"/>
        </w:pict>
      </w:r>
    </w:p>
    <w:bookmarkEnd w:id="23"/>
    <w:bookmarkEnd w:id="24"/>
    <w:bookmarkStart w:id="25" w:name="X827e3c612a19f15795b613412f35095dbdac148"/>
    <w:p>
      <w:pPr>
        <w:pStyle w:val="Heading2"/>
      </w:pPr>
      <w:r>
        <w:t xml:space="preserve">3. Definitions</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927"/>
        <w:gridCol w:w="7938"/>
      </w:tblGrid>
      <w:tr>
        <w:trPr>
          <w:tblHeader w:val="true"/>
          <w:tblHeader w:val="true"/>
        </w:trPr>
        <w:tc>
          <w:tcPr>
            <w:tcW w:type="dxa" w:w="1927"/>
            <w:shd w:val="clear" w:color="auto" w:fill="DCE6F1"/>
          </w:tcPr>
          <w:p>
            <w:pPr>
              <w:pStyle w:val="Compact"/>
              <w:spacing w:after="20" w:before="20"/>
              <w:jc w:val="left"/>
            </w:pPr>
            <w:r>
              <w:rPr>
                <w:b/>
                <w:sz w:val="17"/>
              </w:rPr>
              <w:t xml:space="preserve">Term</w:t>
            </w:r>
          </w:p>
        </w:tc>
        <w:tc>
          <w:tcPr>
            <w:tcW w:type="dxa" w:w="7938"/>
            <w:shd w:val="clear" w:color="auto" w:fill="DCE6F1"/>
          </w:tcPr>
          <w:p>
            <w:pPr>
              <w:pStyle w:val="Compact"/>
              <w:spacing w:after="20" w:before="20"/>
              <w:jc w:val="left"/>
            </w:pPr>
            <w:r>
              <w:rPr>
                <w:b/>
                <w:sz w:val="17"/>
              </w:rPr>
              <w:t xml:space="preserve">Meaning in this document</w:t>
            </w:r>
          </w:p>
        </w:tc>
      </w:tr>
      <w:tr>
        <w:tc>
          <w:tcPr>
            <w:tcW w:type="dxa" w:w="1927"/>
          </w:tcPr>
          <w:p>
            <w:pPr>
              <w:pStyle w:val="Compact"/>
              <w:spacing w:after="20" w:before="20"/>
              <w:jc w:val="left"/>
            </w:pPr>
            <w:r>
              <w:rPr>
                <w:sz w:val="17"/>
              </w:rPr>
              <w:t xml:space="preserve">Protected item</w:t>
            </w:r>
          </w:p>
        </w:tc>
        <w:tc>
          <w:tcPr>
            <w:tcW w:type="dxa" w:w="7938"/>
          </w:tcPr>
          <w:p>
            <w:pPr>
              <w:pStyle w:val="Compact"/>
              <w:spacing w:after="20" w:before="20"/>
              <w:jc w:val="left"/>
            </w:pPr>
            <w:r>
              <w:rPr>
                <w:sz w:val="17"/>
              </w:rPr>
              <w:t xml:space="preserve">A file carrying a sensitivity label in a protected tier (see 4.1). Endpoint DLP treats it as "sensitive".</w:t>
            </w:r>
          </w:p>
        </w:tc>
      </w:tr>
      <w:tr>
        <w:tc>
          <w:tcPr>
            <w:tcW w:type="dxa" w:w="1927"/>
          </w:tcPr>
          <w:p>
            <w:pPr>
              <w:pStyle w:val="Compact"/>
              <w:spacing w:after="20" w:before="20"/>
              <w:jc w:val="left"/>
            </w:pPr>
            <w:r>
              <w:rPr>
                <w:sz w:val="17"/>
              </w:rPr>
              <w:t xml:space="preserve">Egress activity</w:t>
            </w:r>
          </w:p>
        </w:tc>
        <w:tc>
          <w:tcPr>
            <w:tcW w:type="dxa" w:w="7938"/>
          </w:tcPr>
          <w:p>
            <w:pPr>
              <w:pStyle w:val="Compact"/>
              <w:spacing w:after="20" w:before="20"/>
              <w:jc w:val="left"/>
            </w:pPr>
            <w:r>
              <w:rPr>
                <w:sz w:val="17"/>
              </w:rPr>
              <w:t xml:space="preserve">Any action that moves a protected item or its content off the device: copy to network share, upload in browser, copy to clipboard, paste to browser, FTP/SFTP transfer, copy to USB, print, RDP transfer, Bluetooth transfer.</w:t>
            </w:r>
          </w:p>
        </w:tc>
      </w:tr>
      <w:tr>
        <w:tc>
          <w:tcPr>
            <w:tcW w:type="dxa" w:w="1927"/>
          </w:tcPr>
          <w:p>
            <w:pPr>
              <w:pStyle w:val="Compact"/>
              <w:spacing w:after="20" w:before="20"/>
              <w:jc w:val="left"/>
            </w:pPr>
            <w:r>
              <w:rPr>
                <w:sz w:val="17"/>
              </w:rPr>
              <w:t xml:space="preserve">Sanctioned destination</w:t>
            </w:r>
          </w:p>
        </w:tc>
        <w:tc>
          <w:tcPr>
            <w:tcW w:type="dxa" w:w="7938"/>
          </w:tcPr>
          <w:p>
            <w:pPr>
              <w:pStyle w:val="Compact"/>
              <w:spacing w:after="20" w:before="20"/>
              <w:jc w:val="left"/>
            </w:pPr>
            <w:r>
              <w:rPr>
                <w:sz w:val="17"/>
              </w:rPr>
              <w:t xml:space="preserve">A destination on an allow list: a network share group with action Allow, a service domain in the Allow list, or an app in an allowed restricted app group.</w:t>
            </w:r>
          </w:p>
        </w:tc>
      </w:tr>
      <w:tr>
        <w:tc>
          <w:tcPr>
            <w:tcW w:type="dxa" w:w="1927"/>
          </w:tcPr>
          <w:p>
            <w:pPr>
              <w:pStyle w:val="Compact"/>
              <w:spacing w:after="20" w:before="20"/>
              <w:jc w:val="left"/>
            </w:pPr>
            <w:r>
              <w:rPr>
                <w:sz w:val="17"/>
              </w:rPr>
              <w:t xml:space="preserve">Unsanctioned destination</w:t>
            </w:r>
          </w:p>
        </w:tc>
        <w:tc>
          <w:tcPr>
            <w:tcW w:type="dxa" w:w="7938"/>
          </w:tcPr>
          <w:p>
            <w:pPr>
              <w:pStyle w:val="Compact"/>
              <w:spacing w:after="20" w:before="20"/>
              <w:jc w:val="left"/>
            </w:pPr>
            <w:r>
              <w:rPr>
                <w:sz w:val="17"/>
              </w:rPr>
              <w:t xml:space="preserve">Any destination not on an allow list. The default stance is deny.</w:t>
            </w:r>
          </w:p>
        </w:tc>
      </w:tr>
      <w:tr>
        <w:tc>
          <w:tcPr>
            <w:tcW w:type="dxa" w:w="1927"/>
          </w:tcPr>
          <w:p>
            <w:pPr>
              <w:pStyle w:val="Compact"/>
              <w:spacing w:after="20" w:before="20"/>
              <w:jc w:val="left"/>
            </w:pPr>
            <w:r>
              <w:rPr>
                <w:sz w:val="17"/>
              </w:rPr>
              <w:t xml:space="preserve">Home NAS</w:t>
            </w:r>
          </w:p>
        </w:tc>
        <w:tc>
          <w:tcPr>
            <w:tcW w:type="dxa" w:w="7938"/>
          </w:tcPr>
          <w:p>
            <w:pPr>
              <w:pStyle w:val="Compact"/>
              <w:spacing w:after="20" w:before="20"/>
              <w:jc w:val="left"/>
            </w:pPr>
            <w:r>
              <w:rPr>
                <w:sz w:val="17"/>
              </w:rPr>
              <w:t xml:space="preserve">A personal network-attached storage appliance on an employee's home LAN (Synology DSM, QNAP QTS, Western Digital My Cloud, TrueNAS, Asustor, Terramaster, a Fritz!Box USB share, and similar). Reachable over SMB/CIFS (UNC path or mapped drive), over HTTP/HTTPS (the vendor web UI on a private IP such as</w:t>
            </w:r>
            <w:r>
              <w:rPr>
                <w:sz w:val="17"/>
              </w:rPr>
              <w:t xml:space="preserve"> </w:t>
            </w:r>
            <w:r>
              <w:rPr>
                <w:rStyle w:val="VerbatimChar"/>
                <w:sz w:val="17"/>
              </w:rPr>
              <w:t xml:space="preserve">192.168.x.x:5000</w:t>
            </w:r>
            <w:r>
              <w:rPr>
                <w:sz w:val="17"/>
              </w:rPr>
              <w:t xml:space="preserve">), over FTP/SFTP or WebDAV, through a vendor desktop sync client (Synology Drive Client, QNAP Qsync, WD Discovery), and often from anywhere on the internet through a vendor relay service (Synology QuickConnect</w:t>
            </w:r>
            <w:r>
              <w:rPr>
                <w:sz w:val="17"/>
              </w:rPr>
              <w:t xml:space="preserve"> </w:t>
            </w:r>
            <w:r>
              <w:rPr>
                <w:rStyle w:val="VerbatimChar"/>
                <w:sz w:val="17"/>
              </w:rPr>
              <w:t xml:space="preserve">*.quickconnect.to</w:t>
            </w:r>
            <w:r>
              <w:rPr>
                <w:sz w:val="17"/>
              </w:rPr>
              <w:t xml:space="preserve">, QNAP myQNAPcloud</w:t>
            </w:r>
            <w:r>
              <w:rPr>
                <w:sz w:val="17"/>
              </w:rPr>
              <w:t xml:space="preserve"> </w:t>
            </w:r>
            <w:r>
              <w:rPr>
                <w:rStyle w:val="VerbatimChar"/>
                <w:sz w:val="17"/>
              </w:rPr>
              <w:t xml:space="preserve">*.myqnapcloud.com</w:t>
            </w:r>
            <w:r>
              <w:rPr>
                <w:sz w:val="17"/>
              </w:rPr>
              <w:t xml:space="preserve">, Synology DDNS</w:t>
            </w:r>
            <w:r>
              <w:rPr>
                <w:sz w:val="17"/>
              </w:rPr>
              <w:t xml:space="preserve"> </w:t>
            </w:r>
            <w:r>
              <w:rPr>
                <w:rStyle w:val="VerbatimChar"/>
                <w:sz w:val="17"/>
              </w:rPr>
              <w:t xml:space="preserve">*.synology.me</w:t>
            </w:r>
            <w:r>
              <w:rPr>
                <w:sz w:val="17"/>
              </w:rPr>
              <w:t xml:space="preserve">, WD</w:t>
            </w:r>
            <w:r>
              <w:rPr>
                <w:sz w:val="17"/>
              </w:rPr>
              <w:t xml:space="preserve"> </w:t>
            </w:r>
            <w:r>
              <w:rPr>
                <w:rStyle w:val="VerbatimChar"/>
                <w:sz w:val="17"/>
              </w:rPr>
              <w:t xml:space="preserve">*.mycloud.com</w:t>
            </w:r>
            <w:r>
              <w:rPr>
                <w:sz w:val="17"/>
              </w:rPr>
              <w:t xml:space="preserve">). Always unsanctioned.</w:t>
            </w:r>
          </w:p>
        </w:tc>
      </w:tr>
      <w:tr>
        <w:tc>
          <w:tcPr>
            <w:tcW w:type="dxa" w:w="1927"/>
          </w:tcPr>
          <w:p>
            <w:pPr>
              <w:pStyle w:val="Compact"/>
              <w:spacing w:after="20" w:before="20"/>
              <w:jc w:val="left"/>
            </w:pPr>
            <w:r>
              <w:rPr>
                <w:sz w:val="17"/>
              </w:rPr>
              <w:t xml:space="preserve">Corporate file server</w:t>
            </w:r>
          </w:p>
        </w:tc>
        <w:tc>
          <w:tcPr>
            <w:tcW w:type="dxa" w:w="7938"/>
          </w:tcPr>
          <w:p>
            <w:pPr>
              <w:pStyle w:val="Compact"/>
              <w:spacing w:after="20" w:before="20"/>
              <w:jc w:val="left"/>
            </w:pPr>
            <w:r>
              <w:rPr>
                <w:sz w:val="17"/>
              </w:rPr>
              <w:t xml:space="preserve">A bank-operated SMB server or NAS reachable from managed devices, typically over VPN. The only network shares that may be sanctioned.</w:t>
            </w:r>
            <w:r>
              <w:rPr>
                <w:sz w:val="17"/>
              </w:rPr>
              <w:t xml:space="preserve"> </w:t>
            </w:r>
            <w:r>
              <w:rPr>
                <w:rStyle w:val="VerbatimChar"/>
                <w:sz w:val="17"/>
              </w:rPr>
              <w:t xml:space="preserve">[TBD]</w:t>
            </w:r>
            <w:r>
              <w:rPr>
                <w:sz w:val="17"/>
              </w:rPr>
              <w:t xml:space="preserve"> </w:t>
            </w:r>
            <w:r>
              <w:rPr>
                <w:sz w:val="17"/>
              </w:rPr>
              <w:t xml:space="preserve">whether any exist.</w:t>
            </w:r>
          </w:p>
        </w:tc>
      </w:tr>
      <w:tr>
        <w:tc>
          <w:tcPr>
            <w:tcW w:type="dxa" w:w="1927"/>
          </w:tcPr>
          <w:p>
            <w:pPr>
              <w:pStyle w:val="Compact"/>
              <w:spacing w:after="20" w:before="20"/>
              <w:jc w:val="left"/>
            </w:pPr>
            <w:r>
              <w:rPr>
                <w:sz w:val="17"/>
              </w:rPr>
              <w:t xml:space="preserve">Block</w:t>
            </w:r>
          </w:p>
        </w:tc>
        <w:tc>
          <w:tcPr>
            <w:tcW w:type="dxa" w:w="7938"/>
          </w:tcPr>
          <w:p>
            <w:pPr>
              <w:pStyle w:val="Compact"/>
              <w:spacing w:after="20" w:before="20"/>
              <w:jc w:val="left"/>
            </w:pPr>
            <w:r>
              <w:rPr>
                <w:sz w:val="17"/>
              </w:rPr>
              <w:t xml:space="preserve">The action is stopped. The user sees a notification. An audit event and optionally an alert are generated.</w:t>
            </w:r>
          </w:p>
        </w:tc>
      </w:tr>
      <w:tr>
        <w:tc>
          <w:tcPr>
            <w:tcW w:type="dxa" w:w="1927"/>
          </w:tcPr>
          <w:p>
            <w:pPr>
              <w:pStyle w:val="Compact"/>
              <w:spacing w:after="20" w:before="20"/>
              <w:jc w:val="left"/>
            </w:pPr>
            <w:r>
              <w:rPr>
                <w:sz w:val="17"/>
              </w:rPr>
              <w:t xml:space="preserve">Block with override</w:t>
            </w:r>
          </w:p>
        </w:tc>
        <w:tc>
          <w:tcPr>
            <w:tcW w:type="dxa" w:w="7938"/>
          </w:tcPr>
          <w:p>
            <w:pPr>
              <w:pStyle w:val="Compact"/>
              <w:spacing w:after="20" w:before="20"/>
              <w:jc w:val="left"/>
            </w:pPr>
            <w:r>
              <w:rPr>
                <w:sz w:val="17"/>
              </w:rPr>
              <w:t xml:space="preserve">The action is stopped, but the user can click through with a business justification. The override is logged and alerted. On Windows the override allows the action for 1 minute.</w:t>
            </w:r>
          </w:p>
        </w:tc>
      </w:tr>
      <w:tr>
        <w:tc>
          <w:tcPr>
            <w:tcW w:type="dxa" w:w="1927"/>
          </w:tcPr>
          <w:p>
            <w:pPr>
              <w:pStyle w:val="Compact"/>
              <w:spacing w:after="20" w:before="20"/>
              <w:jc w:val="left"/>
            </w:pPr>
            <w:r>
              <w:rPr>
                <w:sz w:val="17"/>
              </w:rPr>
              <w:t xml:space="preserve">Audit only</w:t>
            </w:r>
          </w:p>
        </w:tc>
        <w:tc>
          <w:tcPr>
            <w:tcW w:type="dxa" w:w="7938"/>
          </w:tcPr>
          <w:p>
            <w:pPr>
              <w:pStyle w:val="Compact"/>
              <w:spacing w:after="20" w:before="20"/>
              <w:jc w:val="left"/>
            </w:pPr>
            <w:r>
              <w:rPr>
                <w:sz w:val="17"/>
              </w:rPr>
              <w:t xml:space="preserve">The action is allowed and logged. Used in early phases.</w:t>
            </w:r>
          </w:p>
        </w:tc>
      </w:tr>
      <w:tr>
        <w:tc>
          <w:tcPr>
            <w:tcW w:type="dxa" w:w="1927"/>
          </w:tcPr>
          <w:p>
            <w:pPr>
              <w:pStyle w:val="Compact"/>
              <w:spacing w:after="20" w:before="20"/>
              <w:jc w:val="left"/>
            </w:pPr>
            <w:r>
              <w:rPr>
                <w:sz w:val="17"/>
              </w:rPr>
              <w:t xml:space="preserve">Allow</w:t>
            </w:r>
          </w:p>
        </w:tc>
        <w:tc>
          <w:tcPr>
            <w:tcW w:type="dxa" w:w="7938"/>
          </w:tcPr>
          <w:p>
            <w:pPr>
              <w:pStyle w:val="Compact"/>
              <w:spacing w:after="20" w:before="20"/>
              <w:jc w:val="left"/>
            </w:pPr>
            <w:r>
              <w:rPr>
                <w:sz w:val="17"/>
              </w:rPr>
              <w:t xml:space="preserve">The action is allowed and logged with no alert. Used for sanctioned destinations. Available only for the Devices location.</w:t>
            </w:r>
          </w:p>
        </w:tc>
      </w:tr>
      <w:tr>
        <w:tc>
          <w:tcPr>
            <w:tcW w:type="dxa" w:w="1927"/>
          </w:tcPr>
          <w:p>
            <w:pPr>
              <w:pStyle w:val="Compact"/>
              <w:spacing w:after="20" w:before="20"/>
              <w:jc w:val="left"/>
            </w:pPr>
            <w:r>
              <w:rPr>
                <w:sz w:val="17"/>
              </w:rPr>
              <w:t xml:space="preserve">Simulation mode</w:t>
            </w:r>
          </w:p>
        </w:tc>
        <w:tc>
          <w:tcPr>
            <w:tcW w:type="dxa" w:w="7938"/>
          </w:tcPr>
          <w:p>
            <w:pPr>
              <w:pStyle w:val="Compact"/>
              <w:spacing w:after="20" w:before="20"/>
              <w:jc w:val="left"/>
            </w:pPr>
            <w:r>
              <w:rPr>
                <w:sz w:val="17"/>
              </w:rPr>
              <w:t xml:space="preserve">Policy runs as if enforced, but no action is taken. Results appear in a separate dashboard. Replaces the old "Test" modes.</w:t>
            </w:r>
          </w:p>
        </w:tc>
      </w:tr>
    </w:tbl>
    <w:p>
      <w:r>
        <w:pict>
          <v:rect style="width:0;height:1.5pt" o:hralign="center" o:hrstd="t" o:hr="t"/>
        </w:pict>
      </w:r>
    </w:p>
    <w:bookmarkEnd w:id="25"/>
    <w:bookmarkStart w:id="32" w:name="X7a4d82958fdf8052ddc1fcd460ad435d931f96e"/>
    <w:p>
      <w:pPr>
        <w:pStyle w:val="Heading2"/>
      </w:pPr>
      <w:r>
        <w:t xml:space="preserve">4. Sanction model (the lists that drive every decision)</w:t>
      </w:r>
    </w:p>
    <w:bookmarkStart w:id="26" w:name="X62db16f7daa45641d3398c952bd57f0ea4e7355"/>
    <w:p>
      <w:pPr>
        <w:pStyle w:val="Heading3"/>
      </w:pPr>
      <w:r>
        <w:t xml:space="preserve">4.1 Sensitivity label tiers</w:t>
      </w:r>
    </w:p>
    <w:p>
      <w:pPr>
        <w:pStyle w:val="FirstParagraph"/>
      </w:pPr>
      <w:r>
        <w:t xml:space="preserve">The label taxonomy in the tenant is not yet documented here. Fill the table. The tier decides which action applies.</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720"/>
        <w:gridCol w:w="3897"/>
        <w:gridCol w:w="2696"/>
        <w:gridCol w:w="2552"/>
      </w:tblGrid>
      <w:tr>
        <w:trPr>
          <w:tblHeader w:val="true"/>
          <w:tblHeader w:val="true"/>
        </w:trPr>
        <w:tc>
          <w:tcPr>
            <w:tcW w:type="dxa" w:w="720"/>
            <w:shd w:val="clear" w:color="auto" w:fill="DCE6F1"/>
          </w:tcPr>
          <w:p>
            <w:pPr>
              <w:pStyle w:val="Compact"/>
              <w:spacing w:after="20" w:before="20"/>
              <w:jc w:val="left"/>
            </w:pPr>
            <w:r>
              <w:rPr>
                <w:b/>
                <w:sz w:val="17"/>
              </w:rPr>
              <w:t xml:space="preserve">Tier</w:t>
            </w:r>
          </w:p>
        </w:tc>
        <w:tc>
          <w:tcPr>
            <w:tcW w:type="dxa" w:w="3897"/>
            <w:shd w:val="clear" w:color="auto" w:fill="DCE6F1"/>
          </w:tcPr>
          <w:p>
            <w:pPr>
              <w:pStyle w:val="Compact"/>
              <w:spacing w:after="20" w:before="20"/>
              <w:jc w:val="left"/>
            </w:pPr>
            <w:r>
              <w:rPr>
                <w:b/>
                <w:sz w:val="17"/>
              </w:rPr>
              <w:t xml:space="preserve">Purpose</w:t>
            </w:r>
          </w:p>
        </w:tc>
        <w:tc>
          <w:tcPr>
            <w:tcW w:type="dxa" w:w="2696"/>
            <w:shd w:val="clear" w:color="auto" w:fill="DCE6F1"/>
          </w:tcPr>
          <w:p>
            <w:pPr>
              <w:pStyle w:val="Compact"/>
              <w:spacing w:after="20" w:before="20"/>
              <w:jc w:val="left"/>
            </w:pPr>
            <w:r>
              <w:rPr>
                <w:b/>
                <w:sz w:val="17"/>
              </w:rPr>
              <w:t xml:space="preserve">Default action for egress to unsanctioned destinations</w:t>
            </w:r>
          </w:p>
        </w:tc>
        <w:tc>
          <w:tcPr>
            <w:tcW w:type="dxa" w:w="2552"/>
            <w:shd w:val="clear" w:color="auto" w:fill="DCE6F1"/>
          </w:tcPr>
          <w:p>
            <w:pPr>
              <w:pStyle w:val="Compact"/>
              <w:spacing w:after="20" w:before="20"/>
              <w:jc w:val="left"/>
            </w:pPr>
            <w:r>
              <w:rPr>
                <w:b/>
                <w:sz w:val="17"/>
              </w:rPr>
              <w:t xml:space="preserve">Label name(s) in tenant</w:t>
            </w:r>
          </w:p>
        </w:tc>
      </w:tr>
      <w:tr>
        <w:tc>
          <w:tcPr>
            <w:tcW w:type="dxa" w:w="720"/>
          </w:tcPr>
          <w:p>
            <w:pPr>
              <w:pStyle w:val="Compact"/>
              <w:spacing w:after="20" w:before="20"/>
              <w:jc w:val="left"/>
            </w:pPr>
            <w:r>
              <w:rPr>
                <w:sz w:val="17"/>
              </w:rPr>
              <w:t xml:space="preserve">Tier 3</w:t>
            </w:r>
          </w:p>
        </w:tc>
        <w:tc>
          <w:tcPr>
            <w:tcW w:type="dxa" w:w="3897"/>
          </w:tcPr>
          <w:p>
            <w:pPr>
              <w:pStyle w:val="Compact"/>
              <w:spacing w:after="20" w:before="20"/>
              <w:jc w:val="left"/>
            </w:pPr>
            <w:r>
              <w:rPr>
                <w:sz w:val="17"/>
              </w:rPr>
              <w:t xml:space="preserve">Highest sensitivity. Must never leave sanctioned storage.</w:t>
            </w:r>
          </w:p>
        </w:tc>
        <w:tc>
          <w:tcPr>
            <w:tcW w:type="dxa" w:w="2696"/>
          </w:tcPr>
          <w:p>
            <w:pPr>
              <w:pStyle w:val="Compact"/>
              <w:spacing w:after="20" w:before="20"/>
              <w:jc w:val="left"/>
            </w:pPr>
            <w:r>
              <w:rPr>
                <w:bCs/>
                <w:b/>
                <w:sz w:val="17"/>
              </w:rPr>
              <w:t xml:space="preserve">Block</w:t>
            </w:r>
          </w:p>
        </w:tc>
        <w:tc>
          <w:tcPr>
            <w:tcW w:type="dxa" w:w="2552"/>
          </w:tcPr>
          <w:p>
            <w:pPr>
              <w:pStyle w:val="Compact"/>
              <w:spacing w:after="20" w:before="20"/>
              <w:jc w:val="left"/>
            </w:pPr>
            <w:r>
              <w:rPr>
                <w:rStyle w:val="VerbatimChar"/>
                <w:sz w:val="17"/>
              </w:rPr>
              <w:t xml:space="preserve">[TBD]</w:t>
            </w:r>
            <w:r>
              <w:rPr>
                <w:sz w:val="17"/>
              </w:rPr>
              <w:t xml:space="preserve"> </w:t>
            </w:r>
            <w:r>
              <w:rPr>
                <w:sz w:val="17"/>
              </w:rPr>
              <w:t xml:space="preserve">(e.g. Highly Confidential and its sublabels)</w:t>
            </w:r>
          </w:p>
        </w:tc>
      </w:tr>
      <w:tr>
        <w:tc>
          <w:tcPr>
            <w:tcW w:type="dxa" w:w="720"/>
          </w:tcPr>
          <w:p>
            <w:pPr>
              <w:pStyle w:val="Compact"/>
              <w:spacing w:after="20" w:before="20"/>
              <w:jc w:val="left"/>
            </w:pPr>
            <w:r>
              <w:rPr>
                <w:sz w:val="17"/>
              </w:rPr>
              <w:t xml:space="preserve">Tier 2</w:t>
            </w:r>
          </w:p>
        </w:tc>
        <w:tc>
          <w:tcPr>
            <w:tcW w:type="dxa" w:w="3897"/>
          </w:tcPr>
          <w:p>
            <w:pPr>
              <w:pStyle w:val="Compact"/>
              <w:spacing w:after="20" w:before="20"/>
              <w:jc w:val="left"/>
            </w:pPr>
            <w:r>
              <w:rPr>
                <w:sz w:val="17"/>
              </w:rPr>
              <w:t xml:space="preserve">Confidential business data. Leaving sanctioned storage requires a justified exception.</w:t>
            </w:r>
          </w:p>
        </w:tc>
        <w:tc>
          <w:tcPr>
            <w:tcW w:type="dxa" w:w="2696"/>
          </w:tcPr>
          <w:p>
            <w:pPr>
              <w:pStyle w:val="Compact"/>
              <w:spacing w:after="20" w:before="20"/>
              <w:jc w:val="left"/>
            </w:pPr>
            <w:r>
              <w:rPr>
                <w:bCs/>
                <w:b/>
                <w:sz w:val="17"/>
              </w:rPr>
              <w:t xml:space="preserve">Block with override</w:t>
            </w:r>
            <w:r>
              <w:rPr>
                <w:sz w:val="17"/>
              </w:rPr>
              <w:t xml:space="preserve"> </w:t>
            </w:r>
            <w:r>
              <w:rPr>
                <w:sz w:val="17"/>
              </w:rPr>
              <w:t xml:space="preserve">(justification required, alert on override)</w:t>
            </w:r>
          </w:p>
        </w:tc>
        <w:tc>
          <w:tcPr>
            <w:tcW w:type="dxa" w:w="2552"/>
          </w:tcPr>
          <w:p>
            <w:pPr>
              <w:pStyle w:val="Compact"/>
              <w:spacing w:after="20" w:before="20"/>
              <w:jc w:val="left"/>
            </w:pPr>
            <w:r>
              <w:rPr>
                <w:rStyle w:val="VerbatimChar"/>
                <w:sz w:val="17"/>
              </w:rPr>
              <w:t xml:space="preserve">[TBD]</w:t>
            </w:r>
            <w:r>
              <w:rPr>
                <w:sz w:val="17"/>
              </w:rPr>
              <w:t xml:space="preserve"> </w:t>
            </w:r>
            <w:r>
              <w:rPr>
                <w:sz w:val="17"/>
              </w:rPr>
              <w:t xml:space="preserve">(e.g. Confidential and its sublabels)</w:t>
            </w:r>
          </w:p>
        </w:tc>
      </w:tr>
      <w:tr>
        <w:tc>
          <w:tcPr>
            <w:tcW w:type="dxa" w:w="720"/>
          </w:tcPr>
          <w:p>
            <w:pPr>
              <w:pStyle w:val="Compact"/>
              <w:spacing w:after="20" w:before="20"/>
              <w:jc w:val="left"/>
            </w:pPr>
            <w:r>
              <w:rPr>
                <w:sz w:val="17"/>
              </w:rPr>
              <w:t xml:space="preserve">Tier 1</w:t>
            </w:r>
          </w:p>
        </w:tc>
        <w:tc>
          <w:tcPr>
            <w:tcW w:type="dxa" w:w="3897"/>
          </w:tcPr>
          <w:p>
            <w:pPr>
              <w:pStyle w:val="Compact"/>
              <w:spacing w:after="20" w:before="20"/>
              <w:jc w:val="left"/>
            </w:pPr>
            <w:r>
              <w:rPr>
                <w:sz w:val="17"/>
              </w:rPr>
              <w:t xml:space="preserve">Internal data. Monitor only.</w:t>
            </w:r>
          </w:p>
        </w:tc>
        <w:tc>
          <w:tcPr>
            <w:tcW w:type="dxa" w:w="2696"/>
          </w:tcPr>
          <w:p>
            <w:pPr>
              <w:pStyle w:val="Compact"/>
              <w:spacing w:after="20" w:before="20"/>
              <w:jc w:val="left"/>
            </w:pPr>
            <w:r>
              <w:rPr>
                <w:bCs/>
                <w:b/>
                <w:sz w:val="17"/>
              </w:rPr>
              <w:t xml:space="preserve">Audit only</w:t>
            </w:r>
          </w:p>
        </w:tc>
        <w:tc>
          <w:tcPr>
            <w:tcW w:type="dxa" w:w="2552"/>
          </w:tcPr>
          <w:p>
            <w:pPr>
              <w:pStyle w:val="Compact"/>
              <w:spacing w:after="20" w:before="20"/>
              <w:jc w:val="left"/>
            </w:pPr>
            <w:r>
              <w:rPr>
                <w:rStyle w:val="VerbatimChar"/>
                <w:sz w:val="17"/>
              </w:rPr>
              <w:t xml:space="preserve">[TBD]</w:t>
            </w:r>
            <w:r>
              <w:rPr>
                <w:sz w:val="17"/>
              </w:rPr>
              <w:t xml:space="preserve"> </w:t>
            </w:r>
            <w:r>
              <w:rPr>
                <w:sz w:val="17"/>
              </w:rPr>
              <w:t xml:space="preserve">(e.g. General / Internal)</w:t>
            </w:r>
          </w:p>
        </w:tc>
      </w:tr>
      <w:tr>
        <w:tc>
          <w:tcPr>
            <w:tcW w:type="dxa" w:w="720"/>
          </w:tcPr>
          <w:p>
            <w:pPr>
              <w:pStyle w:val="Compact"/>
              <w:spacing w:after="20" w:before="20"/>
              <w:jc w:val="left"/>
            </w:pPr>
            <w:r>
              <w:rPr>
                <w:sz w:val="17"/>
              </w:rPr>
              <w:t xml:space="preserve">Tier 0</w:t>
            </w:r>
          </w:p>
        </w:tc>
        <w:tc>
          <w:tcPr>
            <w:tcW w:type="dxa" w:w="3897"/>
          </w:tcPr>
          <w:p>
            <w:pPr>
              <w:pStyle w:val="Compact"/>
              <w:spacing w:after="20" w:before="20"/>
              <w:jc w:val="left"/>
            </w:pPr>
            <w:r>
              <w:rPr>
                <w:sz w:val="17"/>
              </w:rPr>
              <w:t xml:space="preserve">Public / unlabeled. No restriction from label rules.</w:t>
            </w:r>
          </w:p>
        </w:tc>
        <w:tc>
          <w:tcPr>
            <w:tcW w:type="dxa" w:w="2696"/>
          </w:tcPr>
          <w:p>
            <w:pPr>
              <w:pStyle w:val="Compact"/>
              <w:spacing w:after="20" w:before="20"/>
              <w:jc w:val="left"/>
            </w:pPr>
            <w:r>
              <w:rPr>
                <w:sz w:val="17"/>
              </w:rPr>
              <w:t xml:space="preserve">None</w:t>
            </w:r>
          </w:p>
        </w:tc>
        <w:tc>
          <w:tcPr>
            <w:tcW w:type="dxa" w:w="2552"/>
          </w:tcPr>
          <w:p>
            <w:pPr>
              <w:pStyle w:val="Compact"/>
              <w:spacing w:after="20" w:before="20"/>
              <w:jc w:val="left"/>
            </w:pPr>
            <w:r>
              <w:rPr>
                <w:rStyle w:val="VerbatimChar"/>
                <w:sz w:val="17"/>
              </w:rPr>
              <w:t xml:space="preserve">[TBD]</w:t>
            </w:r>
            <w:r>
              <w:rPr>
                <w:sz w:val="17"/>
              </w:rPr>
              <w:t xml:space="preserve"> </w:t>
            </w:r>
            <w:r>
              <w:rPr>
                <w:sz w:val="17"/>
              </w:rPr>
              <w:t xml:space="preserve">(e.g. Public)</w:t>
            </w:r>
          </w:p>
        </w:tc>
      </w:tr>
    </w:tbl>
    <w:p>
      <w:pPr>
        <w:pStyle w:val="BodyText"/>
      </w:pPr>
      <w:r>
        <w:t xml:space="preserve">Design note: start with two enforced tiers. More tiers mean more policies, more exceptions, and slower rollout. Recommendation is Tier 3 = Block and Tier 2 = Block with override for the first six months, then review override volume and tighten.</w:t>
      </w:r>
    </w:p>
    <w:bookmarkEnd w:id="26"/>
    <w:bookmarkStart w:id="27" w:name="X08a52449dd17d40ece06f90db78262f062a23b7"/>
    <w:p>
      <w:pPr>
        <w:pStyle w:val="Heading3"/>
      </w:pPr>
      <w:r>
        <w:t xml:space="preserve">4.2 Sanctioned cloud service domains (upload allow list)</w:t>
      </w:r>
    </w:p>
    <w:p>
      <w:pPr>
        <w:pStyle w:val="FirstParagraph"/>
      </w:pPr>
      <w:r>
        <w:t xml:space="preserve">Used by the</w:t>
      </w:r>
      <w:r>
        <w:t xml:space="preserve"> </w:t>
      </w:r>
      <w:r>
        <w:rPr>
          <w:bCs/>
          <w:b/>
        </w:rPr>
        <w:t xml:space="preserve">Service domains</w:t>
      </w:r>
      <w:r>
        <w:t xml:space="preserve"> </w:t>
      </w:r>
      <w:r>
        <w:t xml:space="preserve">setting in Allow mode. Maximum 50 entries. Only Microsoft 365 is sanctioned today.</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908"/>
        <w:gridCol w:w="3283"/>
        <w:gridCol w:w="4674"/>
      </w:tblGrid>
      <w:tr>
        <w:trPr>
          <w:tblHeader w:val="true"/>
          <w:tblHeader w:val="true"/>
        </w:trPr>
        <w:tc>
          <w:tcPr>
            <w:tcW w:type="dxa" w:w="1908"/>
            <w:shd w:val="clear" w:color="auto" w:fill="DCE6F1"/>
          </w:tcPr>
          <w:p>
            <w:pPr>
              <w:pStyle w:val="Compact"/>
              <w:spacing w:after="20" w:before="20"/>
              <w:jc w:val="left"/>
            </w:pPr>
            <w:r>
              <w:rPr>
                <w:b/>
                <w:sz w:val="17"/>
              </w:rPr>
              <w:t xml:space="preserve">Service</w:t>
            </w:r>
          </w:p>
        </w:tc>
        <w:tc>
          <w:tcPr>
            <w:tcW w:type="dxa" w:w="3283"/>
            <w:shd w:val="clear" w:color="auto" w:fill="DCE6F1"/>
          </w:tcPr>
          <w:p>
            <w:pPr>
              <w:pStyle w:val="Compact"/>
              <w:spacing w:after="20" w:before="20"/>
              <w:jc w:val="left"/>
            </w:pPr>
            <w:r>
              <w:rPr>
                <w:b/>
                <w:sz w:val="17"/>
              </w:rPr>
              <w:t xml:space="preserve">Domain pattern</w:t>
            </w:r>
          </w:p>
        </w:tc>
        <w:tc>
          <w:tcPr>
            <w:tcW w:type="dxa" w:w="4674"/>
            <w:shd w:val="clear" w:color="auto" w:fill="DCE6F1"/>
          </w:tcPr>
          <w:p>
            <w:pPr>
              <w:pStyle w:val="Compact"/>
              <w:spacing w:after="20" w:before="20"/>
              <w:jc w:val="left"/>
            </w:pPr>
            <w:r>
              <w:rPr>
                <w:b/>
                <w:sz w:val="17"/>
              </w:rPr>
              <w:t xml:space="preserve">Notes</w:t>
            </w:r>
          </w:p>
        </w:tc>
      </w:tr>
      <w:tr>
        <w:tc>
          <w:tcPr>
            <w:tcW w:type="dxa" w:w="1908"/>
          </w:tcPr>
          <w:p>
            <w:pPr>
              <w:pStyle w:val="Compact"/>
              <w:spacing w:after="20" w:before="20"/>
              <w:jc w:val="left"/>
            </w:pPr>
            <w:r>
              <w:rPr>
                <w:sz w:val="17"/>
              </w:rPr>
              <w:t xml:space="preserve">SharePoint Online and OneDrive for Business</w:t>
            </w:r>
          </w:p>
        </w:tc>
        <w:tc>
          <w:tcPr>
            <w:tcW w:type="dxa" w:w="3283"/>
          </w:tcPr>
          <w:p>
            <w:pPr>
              <w:pStyle w:val="Compact"/>
              <w:spacing w:after="20" w:before="20"/>
              <w:jc w:val="left"/>
            </w:pPr>
            <w:r>
              <w:rPr>
                <w:rStyle w:val="VerbatimChar"/>
                <w:sz w:val="17"/>
              </w:rPr>
              <w:t xml:space="preserve">[TBD tenant].sharepoint.com</w:t>
            </w:r>
            <w:r>
              <w:rPr>
                <w:sz w:val="17"/>
              </w:rPr>
              <w:t xml:space="preserve">,</w:t>
            </w:r>
            <w:r>
              <w:rPr>
                <w:sz w:val="17"/>
              </w:rPr>
              <w:t xml:space="preserve"> </w:t>
            </w:r>
            <w:r>
              <w:rPr>
                <w:rStyle w:val="VerbatimChar"/>
                <w:sz w:val="17"/>
              </w:rPr>
              <w:t xml:space="preserve">[TBD tenant]-my.sharepoint.com</w:t>
            </w:r>
          </w:p>
        </w:tc>
        <w:tc>
          <w:tcPr>
            <w:tcW w:type="dxa" w:w="4674"/>
          </w:tcPr>
          <w:p>
            <w:pPr>
              <w:pStyle w:val="Compact"/>
              <w:spacing w:after="20" w:before="20"/>
              <w:jc w:val="left"/>
            </w:pPr>
            <w:r>
              <w:rPr>
                <w:sz w:val="17"/>
              </w:rPr>
              <w:t xml:space="preserve">Use the exact apoBank tenant hostnames. Do not use</w:t>
            </w:r>
            <w:r>
              <w:rPr>
                <w:sz w:val="17"/>
              </w:rPr>
              <w:t xml:space="preserve"> </w:t>
            </w:r>
            <w:r>
              <w:rPr>
                <w:rStyle w:val="VerbatimChar"/>
                <w:sz w:val="17"/>
              </w:rPr>
              <w:t xml:space="preserve">*.sharepoint.com</w:t>
            </w:r>
            <w:r>
              <w:rPr>
                <w:sz w:val="17"/>
              </w:rPr>
              <w:t xml:space="preserve">: it matches every Microsoft 365 customer's SharePoint (Annex A, RT-02). Corrected in v0.3.</w:t>
            </w:r>
          </w:p>
        </w:tc>
      </w:tr>
      <w:tr>
        <w:tc>
          <w:tcPr>
            <w:tcW w:type="dxa" w:w="1908"/>
          </w:tcPr>
          <w:p>
            <w:pPr>
              <w:pStyle w:val="Compact"/>
              <w:spacing w:after="20" w:before="20"/>
              <w:jc w:val="left"/>
            </w:pPr>
            <w:r>
              <w:rPr>
                <w:sz w:val="17"/>
              </w:rPr>
              <w:t xml:space="preserve">Microsoft Teams (web)</w:t>
            </w:r>
          </w:p>
        </w:tc>
        <w:tc>
          <w:tcPr>
            <w:tcW w:type="dxa" w:w="3283"/>
          </w:tcPr>
          <w:p>
            <w:pPr>
              <w:pStyle w:val="Compact"/>
              <w:spacing w:after="20" w:before="20"/>
              <w:jc w:val="left"/>
            </w:pPr>
            <w:r>
              <w:rPr>
                <w:rStyle w:val="VerbatimChar"/>
                <w:sz w:val="17"/>
              </w:rPr>
              <w:t xml:space="preserve">teams.microsoft.com</w:t>
            </w:r>
            <w:r>
              <w:rPr>
                <w:sz w:val="17"/>
              </w:rPr>
              <w:t xml:space="preserve">,</w:t>
            </w:r>
            <w:r>
              <w:rPr>
                <w:sz w:val="17"/>
              </w:rPr>
              <w:t xml:space="preserve"> </w:t>
            </w:r>
            <w:r>
              <w:rPr>
                <w:rStyle w:val="VerbatimChar"/>
                <w:sz w:val="17"/>
              </w:rPr>
              <w:t xml:space="preserve">*.teams.microsoft.com</w:t>
            </w:r>
            <w:r>
              <w:rPr>
                <w:sz w:val="17"/>
              </w:rPr>
              <w:t xml:space="preserve">,</w:t>
            </w:r>
            <w:r>
              <w:rPr>
                <w:sz w:val="17"/>
              </w:rPr>
              <w:t xml:space="preserve"> </w:t>
            </w:r>
            <w:r>
              <w:rPr>
                <w:rStyle w:val="VerbatimChar"/>
                <w:sz w:val="17"/>
              </w:rPr>
              <w:t xml:space="preserve">teams.cloud.microsoft</w:t>
            </w:r>
          </w:p>
        </w:tc>
        <w:tc>
          <w:tcPr>
            <w:tcW w:type="dxa" w:w="4674"/>
          </w:tcPr>
          <w:p>
            <w:pPr>
              <w:pStyle w:val="Compact"/>
              <w:spacing w:after="20" w:before="20"/>
              <w:jc w:val="left"/>
            </w:pPr>
            <w:r>
              <w:rPr>
                <w:sz w:val="17"/>
              </w:rPr>
              <w:t xml:space="preserve">File attach in Teams web goes to SharePoint/OneDrive but the upload is initiated from the Teams domain.</w:t>
            </w:r>
          </w:p>
        </w:tc>
      </w:tr>
      <w:tr>
        <w:tc>
          <w:tcPr>
            <w:tcW w:type="dxa" w:w="1908"/>
          </w:tcPr>
          <w:p>
            <w:pPr>
              <w:pStyle w:val="Compact"/>
              <w:spacing w:after="20" w:before="20"/>
              <w:jc w:val="left"/>
            </w:pPr>
            <w:r>
              <w:rPr>
                <w:sz w:val="17"/>
              </w:rPr>
              <w:t xml:space="preserve">Outlook on the web</w:t>
            </w:r>
          </w:p>
        </w:tc>
        <w:tc>
          <w:tcPr>
            <w:tcW w:type="dxa" w:w="3283"/>
          </w:tcPr>
          <w:p>
            <w:pPr>
              <w:pStyle w:val="Compact"/>
              <w:spacing w:after="20" w:before="20"/>
              <w:jc w:val="left"/>
            </w:pPr>
            <w:r>
              <w:rPr>
                <w:rStyle w:val="VerbatimChar"/>
                <w:sz w:val="17"/>
              </w:rPr>
              <w:t xml:space="preserve">outlook.office.com</w:t>
            </w:r>
            <w:r>
              <w:rPr>
                <w:sz w:val="17"/>
              </w:rPr>
              <w:t xml:space="preserve">,</w:t>
            </w:r>
            <w:r>
              <w:rPr>
                <w:sz w:val="17"/>
              </w:rPr>
              <w:t xml:space="preserve"> </w:t>
            </w:r>
            <w:r>
              <w:rPr>
                <w:rStyle w:val="VerbatimChar"/>
                <w:sz w:val="17"/>
              </w:rPr>
              <w:t xml:space="preserve">outlook.office365.com</w:t>
            </w:r>
            <w:r>
              <w:rPr>
                <w:sz w:val="17"/>
              </w:rPr>
              <w:t xml:space="preserve">,</w:t>
            </w:r>
            <w:r>
              <w:rPr>
                <w:sz w:val="17"/>
              </w:rPr>
              <w:t xml:space="preserve"> </w:t>
            </w:r>
            <w:r>
              <w:rPr>
                <w:rStyle w:val="VerbatimChar"/>
                <w:sz w:val="17"/>
              </w:rPr>
              <w:t xml:space="preserve">outlook.cloud.microsoft</w:t>
            </w:r>
          </w:p>
        </w:tc>
        <w:tc>
          <w:tcPr>
            <w:tcW w:type="dxa" w:w="4674"/>
          </w:tcPr>
          <w:p>
            <w:pPr>
              <w:pStyle w:val="Compact"/>
              <w:spacing w:after="20" w:before="20"/>
              <w:jc w:val="left"/>
            </w:pPr>
            <w:r>
              <w:rPr>
                <w:sz w:val="17"/>
              </w:rPr>
              <w:t xml:space="preserve">Attaching a file to a mail is a browser upload. Exchange DLP handles the mail content itself.</w:t>
            </w:r>
          </w:p>
        </w:tc>
      </w:tr>
      <w:tr>
        <w:tc>
          <w:tcPr>
            <w:tcW w:type="dxa" w:w="1908"/>
          </w:tcPr>
          <w:p>
            <w:pPr>
              <w:pStyle w:val="Compact"/>
              <w:spacing w:after="20" w:before="20"/>
              <w:jc w:val="left"/>
            </w:pPr>
            <w:r>
              <w:rPr>
                <w:sz w:val="17"/>
              </w:rPr>
              <w:t xml:space="preserve">Microsoft 365 portal and Office web apps</w:t>
            </w:r>
          </w:p>
        </w:tc>
        <w:tc>
          <w:tcPr>
            <w:tcW w:type="dxa" w:w="3283"/>
          </w:tcPr>
          <w:p>
            <w:pPr>
              <w:pStyle w:val="Compact"/>
              <w:spacing w:after="20" w:before="20"/>
              <w:jc w:val="left"/>
            </w:pPr>
            <w:r>
              <w:rPr>
                <w:rStyle w:val="VerbatimChar"/>
                <w:sz w:val="17"/>
              </w:rPr>
              <w:t xml:space="preserve">*.office.com</w:t>
            </w:r>
            <w:r>
              <w:rPr>
                <w:sz w:val="17"/>
              </w:rPr>
              <w:t xml:space="preserve">,</w:t>
            </w:r>
            <w:r>
              <w:rPr>
                <w:sz w:val="17"/>
              </w:rPr>
              <w:t xml:space="preserve"> </w:t>
            </w:r>
            <w:r>
              <w:rPr>
                <w:rStyle w:val="VerbatimChar"/>
                <w:sz w:val="17"/>
              </w:rPr>
              <w:t xml:space="preserve">*.cloud.microsoft</w:t>
            </w:r>
            <w:r>
              <w:rPr>
                <w:sz w:val="17"/>
              </w:rPr>
              <w:t xml:space="preserve">,</w:t>
            </w:r>
            <w:r>
              <w:rPr>
                <w:sz w:val="17"/>
              </w:rPr>
              <w:t xml:space="preserve"> </w:t>
            </w:r>
            <w:r>
              <w:rPr>
                <w:rStyle w:val="VerbatimChar"/>
                <w:sz w:val="17"/>
              </w:rPr>
              <w:t xml:space="preserve">*.microsoft365.com</w:t>
            </w:r>
          </w:p>
        </w:tc>
        <w:tc>
          <w:tcPr>
            <w:tcW w:type="dxa" w:w="4674"/>
          </w:tcPr>
          <w:p>
            <w:pPr>
              <w:pStyle w:val="Compact"/>
              <w:spacing w:after="20" w:before="20"/>
              <w:jc w:val="left"/>
            </w:pPr>
            <w:r>
              <w:rPr>
                <w:sz w:val="17"/>
              </w:rPr>
              <w:t xml:space="preserve">Office for the web upload entry points.</w:t>
            </w:r>
          </w:p>
        </w:tc>
      </w:tr>
      <w:tr>
        <w:tc>
          <w:tcPr>
            <w:tcW w:type="dxa" w:w="1908"/>
          </w:tcPr>
          <w:p>
            <w:pPr>
              <w:pStyle w:val="Compact"/>
              <w:spacing w:after="20" w:before="20"/>
              <w:jc w:val="left"/>
            </w:pPr>
            <w:r>
              <w:rPr>
                <w:sz w:val="17"/>
              </w:rPr>
              <w:t xml:space="preserve">Other sanctioned SaaS</w:t>
            </w:r>
          </w:p>
        </w:tc>
        <w:tc>
          <w:tcPr>
            <w:tcW w:type="dxa" w:w="3283"/>
          </w:tcPr>
          <w:p>
            <w:pPr>
              <w:pStyle w:val="Compact"/>
              <w:spacing w:after="20" w:before="20"/>
              <w:jc w:val="left"/>
            </w:pPr>
            <w:r>
              <w:rPr>
                <w:rStyle w:val="VerbatimChar"/>
                <w:sz w:val="17"/>
              </w:rPr>
              <w:t xml:space="preserve">[TBD]</w:t>
            </w:r>
          </w:p>
        </w:tc>
        <w:tc>
          <w:tcPr>
            <w:tcW w:type="dxa" w:w="4674"/>
          </w:tcPr>
          <w:p>
            <w:pPr>
              <w:pStyle w:val="Compact"/>
              <w:spacing w:after="20" w:before="20"/>
              <w:jc w:val="left"/>
            </w:pPr>
            <w:r>
              <w:rPr>
                <w:sz w:val="17"/>
              </w:rPr>
              <w:t xml:space="preserve">None known today.</w:t>
            </w:r>
          </w:p>
        </w:tc>
      </w:tr>
    </w:tbl>
    <w:p>
      <w:pPr>
        <w:pStyle w:val="BodyText"/>
      </w:pPr>
      <w:r>
        <w:rPr>
          <w:bCs/>
          <w:b/>
        </w:rPr>
        <w:t xml:space="preserve">Caution.</w:t>
      </w:r>
      <w:r>
        <w:t xml:space="preserve"> </w:t>
      </w:r>
      <w:r>
        <w:t xml:space="preserve">Do not add consumer Microsoft domains such as</w:t>
      </w:r>
      <w:r>
        <w:t xml:space="preserve"> </w:t>
      </w:r>
      <w:r>
        <w:rPr>
          <w:rStyle w:val="VerbatimChar"/>
        </w:rPr>
        <w:t xml:space="preserve">onedrive.live.com</w:t>
      </w:r>
      <w:r>
        <w:t xml:space="preserve">,</w:t>
      </w:r>
      <w:r>
        <w:t xml:space="preserve"> </w:t>
      </w:r>
      <w:r>
        <w:rPr>
          <w:rStyle w:val="VerbatimChar"/>
        </w:rPr>
        <w:t xml:space="preserve">outlook.live.com</w:t>
      </w:r>
      <w:r>
        <w:t xml:space="preserve">, or</w:t>
      </w:r>
      <w:r>
        <w:t xml:space="preserve"> </w:t>
      </w:r>
      <w:r>
        <w:rPr>
          <w:rStyle w:val="VerbatimChar"/>
        </w:rPr>
        <w:t xml:space="preserve">login.live.com</w:t>
      </w:r>
      <w:r>
        <w:t xml:space="preserve"> </w:t>
      </w:r>
      <w:r>
        <w:t xml:space="preserve">to the allow list. They are personal storage and are unsanctioned. The exact Microsoft 365 hostnames in use should be validated in a pilot in simulation mode before enforcement, because Microsoft periodically adds new</w:t>
      </w:r>
      <w:r>
        <w:t xml:space="preserve"> </w:t>
      </w:r>
      <w:r>
        <w:rPr>
          <w:rStyle w:val="VerbatimChar"/>
        </w:rPr>
        <w:t xml:space="preserve">cloud.microsoft</w:t>
      </w:r>
      <w:r>
        <w:t xml:space="preserve"> </w:t>
      </w:r>
      <w:r>
        <w:t xml:space="preserve">endpoints. Confidence in the list above as a starting point: medium.</w:t>
      </w:r>
    </w:p>
    <w:p>
      <w:pPr>
        <w:pStyle w:val="BodyText"/>
      </w:pPr>
      <w:r>
        <w:rPr>
          <w:bCs/>
          <w:b/>
        </w:rPr>
        <w:t xml:space="preserve">Red-team finding RT-02.</w:t>
      </w:r>
      <w:r>
        <w:t xml:space="preserve"> </w:t>
      </w:r>
      <w:r>
        <w:t xml:space="preserve">Teams, Outlook on the web, and the Office portal hostnames are shared by every Microsoft 365 customer, and parts of them also serve personal Microsoft accounts. An upload to another organization's tenant or to a personal account therefore matches this allow list. Hostname matching cannot tell tenants apart. Entra tenant restrictions v2 on managed devices is the control that closes this gap, together with OneDrive sync client tenant restrictions. See Annex A.</w:t>
      </w:r>
    </w:p>
    <w:bookmarkEnd w:id="27"/>
    <w:bookmarkStart w:id="28" w:name="X3f6b9625295fd58e5f03ec638af545d210ecf99"/>
    <w:p>
      <w:pPr>
        <w:pStyle w:val="Heading3"/>
      </w:pPr>
      <w:r>
        <w:t xml:space="preserve">4.3 Sanctioned network shares (SMB/CIFS allow list): corporate file servers only</w:t>
      </w:r>
    </w:p>
    <w:p>
      <w:pPr>
        <w:pStyle w:val="FirstParagraph"/>
      </w:pPr>
      <w:r>
        <w:t xml:space="preserve">Used by a</w:t>
      </w:r>
      <w:r>
        <w:t xml:space="preserve"> </w:t>
      </w:r>
      <w:r>
        <w:rPr>
          <w:bCs/>
          <w:b/>
        </w:rPr>
        <w:t xml:space="preserve">Network share group</w:t>
      </w:r>
      <w:r>
        <w:t xml:space="preserve"> </w:t>
      </w:r>
      <w:r>
        <w:t xml:space="preserve">with action</w:t>
      </w:r>
      <w:r>
        <w:t xml:space="preserve"> </w:t>
      </w:r>
      <w:r>
        <w:rPr>
          <w:bCs/>
          <w:b/>
        </w:rPr>
        <w:t xml:space="preserve">Allow</w:t>
      </w:r>
      <w:r>
        <w:t xml:space="preserve">. Paths are matched by prefix and support</w:t>
      </w:r>
      <w:r>
        <w:t xml:space="preserve"> </w:t>
      </w:r>
      <w:r>
        <w:rPr>
          <w:rStyle w:val="VerbatimChar"/>
        </w:rPr>
        <w:t xml:space="preserve">*</w:t>
      </w:r>
      <w:r>
        <w:t xml:space="preserve"> </w:t>
      </w:r>
      <w:r>
        <w:t xml:space="preserve">wildcards. Every other share, including every home NAS, is implicitly unsanctioned and falls under the global "Copy to a network share" action.</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0"/>
        <w:gridCol w:w="1140"/>
        <w:gridCol w:w="825"/>
        <w:gridCol w:w="5460"/>
      </w:tblGrid>
      <w:tr>
        <w:trPr>
          <w:tblHeader w:val="true"/>
          <w:tblHeader w:val="true"/>
        </w:trPr>
        <w:tc>
          <w:tcPr>
            <w:tcW w:type="dxa" w:w="2440"/>
            <w:shd w:val="clear" w:color="auto" w:fill="DCE6F1"/>
          </w:tcPr>
          <w:p>
            <w:pPr>
              <w:pStyle w:val="Compact"/>
              <w:spacing w:after="20" w:before="20"/>
              <w:jc w:val="left"/>
            </w:pPr>
            <w:r>
              <w:rPr>
                <w:b/>
                <w:sz w:val="17"/>
              </w:rPr>
              <w:t xml:space="preserve">Share</w:t>
            </w:r>
          </w:p>
        </w:tc>
        <w:tc>
          <w:tcPr>
            <w:tcW w:type="dxa" w:w="1140"/>
            <w:shd w:val="clear" w:color="auto" w:fill="DCE6F1"/>
          </w:tcPr>
          <w:p>
            <w:pPr>
              <w:pStyle w:val="Compact"/>
              <w:spacing w:after="20" w:before="20"/>
              <w:jc w:val="left"/>
            </w:pPr>
            <w:r>
              <w:rPr>
                <w:b/>
                <w:sz w:val="17"/>
              </w:rPr>
              <w:t xml:space="preserve">UNC path prefix</w:t>
            </w:r>
          </w:p>
        </w:tc>
        <w:tc>
          <w:tcPr>
            <w:tcW w:type="dxa" w:w="825"/>
            <w:shd w:val="clear" w:color="auto" w:fill="DCE6F1"/>
          </w:tcPr>
          <w:p>
            <w:pPr>
              <w:pStyle w:val="Compact"/>
              <w:spacing w:after="20" w:before="20"/>
              <w:jc w:val="left"/>
            </w:pPr>
            <w:r>
              <w:rPr>
                <w:b/>
                <w:sz w:val="17"/>
              </w:rPr>
              <w:t xml:space="preserve">Owner</w:t>
            </w:r>
          </w:p>
        </w:tc>
        <w:tc>
          <w:tcPr>
            <w:tcW w:type="dxa" w:w="5460"/>
            <w:shd w:val="clear" w:color="auto" w:fill="DCE6F1"/>
          </w:tcPr>
          <w:p>
            <w:pPr>
              <w:pStyle w:val="Compact"/>
              <w:spacing w:after="20" w:before="20"/>
              <w:jc w:val="left"/>
            </w:pPr>
            <w:r>
              <w:rPr>
                <w:b/>
                <w:sz w:val="17"/>
              </w:rPr>
              <w:t xml:space="preserve">Notes</w:t>
            </w:r>
          </w:p>
        </w:tc>
      </w:tr>
      <w:tr>
        <w:tc>
          <w:tcPr>
            <w:tcW w:type="dxa" w:w="2440"/>
          </w:tcPr>
          <w:p>
            <w:pPr>
              <w:pStyle w:val="Compact"/>
              <w:spacing w:after="20" w:before="20"/>
              <w:jc w:val="left"/>
            </w:pPr>
            <w:r>
              <w:rPr>
                <w:rStyle w:val="VerbatimChar"/>
                <w:sz w:val="17"/>
              </w:rPr>
              <w:t xml:space="preserve">[TBD]</w:t>
            </w:r>
            <w:r>
              <w:rPr>
                <w:sz w:val="17"/>
              </w:rPr>
              <w:t xml:space="preserve"> </w:t>
            </w:r>
            <w:r>
              <w:rPr>
                <w:sz w:val="17"/>
              </w:rPr>
              <w:t xml:space="preserve">corporate file server 1</w:t>
            </w:r>
          </w:p>
        </w:tc>
        <w:tc>
          <w:tcPr>
            <w:tcW w:type="dxa" w:w="1140"/>
          </w:tcPr>
          <w:p>
            <w:pPr>
              <w:pStyle w:val="Compact"/>
              <w:spacing w:after="20" w:before="20"/>
              <w:jc w:val="left"/>
            </w:pPr>
            <w:r>
              <w:rPr>
                <w:rStyle w:val="VerbatimChar"/>
                <w:sz w:val="17"/>
              </w:rPr>
              <w:t xml:space="preserve">\\[TBD fqdn]\</w:t>
            </w:r>
          </w:p>
        </w:tc>
        <w:tc>
          <w:tcPr>
            <w:tcW w:type="dxa" w:w="825"/>
          </w:tcPr>
          <w:p>
            <w:pPr>
              <w:pStyle w:val="Compact"/>
              <w:spacing w:after="20" w:before="20"/>
              <w:jc w:val="left"/>
            </w:pPr>
            <w:r>
              <w:rPr>
                <w:rStyle w:val="VerbatimChar"/>
                <w:sz w:val="17"/>
              </w:rPr>
              <w:t xml:space="preserve">[TBD]</w:t>
            </w:r>
          </w:p>
        </w:tc>
        <w:tc>
          <w:tcPr>
            <w:tcW w:type="dxa" w:w="5460"/>
          </w:tcPr>
          <w:p>
            <w:pPr>
              <w:pStyle w:val="Compact"/>
              <w:spacing w:after="20" w:before="20"/>
              <w:jc w:val="left"/>
            </w:pPr>
            <w:r>
              <w:rPr>
                <w:sz w:val="17"/>
              </w:rPr>
              <w:t xml:space="preserve">FQDN only. Do not add short names: a home NAS can carry the same short name (Annex A, RT-07). Corrected in v0.3.</w:t>
            </w:r>
          </w:p>
        </w:tc>
      </w:tr>
      <w:tr>
        <w:tc>
          <w:tcPr>
            <w:tcW w:type="dxa" w:w="2440"/>
          </w:tcPr>
          <w:p>
            <w:pPr>
              <w:pStyle w:val="Compact"/>
              <w:spacing w:after="20" w:before="20"/>
              <w:jc w:val="left"/>
            </w:pPr>
            <w:r>
              <w:rPr>
                <w:rStyle w:val="VerbatimChar"/>
                <w:sz w:val="17"/>
              </w:rPr>
              <w:t xml:space="preserve">[TBD]</w:t>
            </w:r>
            <w:r>
              <w:rPr>
                <w:sz w:val="17"/>
              </w:rPr>
              <w:t xml:space="preserve"> </w:t>
            </w:r>
            <w:r>
              <w:rPr>
                <w:sz w:val="17"/>
              </w:rPr>
              <w:t xml:space="preserve">corporate file server 2</w:t>
            </w:r>
          </w:p>
        </w:tc>
        <w:tc>
          <w:tcPr>
            <w:tcW w:type="dxa" w:w="1140"/>
          </w:tcPr>
          <w:p>
            <w:pPr>
              <w:pStyle w:val="Compact"/>
              <w:spacing w:after="20" w:before="20"/>
              <w:jc w:val="left"/>
            </w:pPr>
            <w:r>
              <w:rPr>
                <w:rStyle w:val="VerbatimChar"/>
                <w:sz w:val="17"/>
              </w:rPr>
              <w:t xml:space="preserve">\\[TBD]\</w:t>
            </w:r>
          </w:p>
        </w:tc>
        <w:tc>
          <w:tcPr>
            <w:tcW w:type="dxa" w:w="825"/>
          </w:tcPr>
          <w:p>
            <w:pPr>
              <w:pStyle w:val="Compact"/>
              <w:spacing w:after="20" w:before="20"/>
              <w:jc w:val="left"/>
            </w:pPr>
            <w:r>
              <w:rPr>
                <w:rStyle w:val="VerbatimChar"/>
                <w:sz w:val="17"/>
              </w:rPr>
              <w:t xml:space="preserve">[TBD]</w:t>
            </w:r>
          </w:p>
        </w:tc>
        <w:tc>
          <w:tcPr>
            <w:tcW w:type="dxa" w:w="5460"/>
          </w:tcPr>
          <w:p>
            <w:pPr>
              <w:pStyle w:val="Compact"/>
              <w:spacing w:after="20" w:before="20"/>
            </w:pPr>
          </w:p>
        </w:tc>
      </w:tr>
    </w:tbl>
    <w:p>
      <w:pPr>
        <w:pStyle w:val="BodyText"/>
      </w:pPr>
      <w:r>
        <w:t xml:space="preserve">If the bank has no on-premises file servers in use from managed devices, leave this group empty. Then every "Copy to a network share" is blocked for Tier 3 and requires override for Tier 2, which is the simplest and safest configuration for a home-office population.</w:t>
      </w:r>
    </w:p>
    <w:p>
      <w:pPr>
        <w:pStyle w:val="BodyText"/>
      </w:pPr>
      <w:r>
        <w:rPr>
          <w:bCs/>
          <w:b/>
        </w:rPr>
        <w:t xml:space="preserve">Caution.</w:t>
      </w:r>
      <w:r>
        <w:t xml:space="preserve"> </w:t>
      </w:r>
      <w:r>
        <w:t xml:space="preserve">Mapped drive letters resolve to the UNC path; add the UNC prefix. Do not add private IP ranges or generic hostnames to this allow list: an employee's home NAS could sit on the same</w:t>
      </w:r>
      <w:r>
        <w:t xml:space="preserve"> </w:t>
      </w:r>
      <w:r>
        <w:rPr>
          <w:rStyle w:val="VerbatimChar"/>
        </w:rPr>
        <w:t xml:space="preserve">192.168.1.x</w:t>
      </w:r>
      <w:r>
        <w:t xml:space="preserve"> </w:t>
      </w:r>
      <w:r>
        <w:t xml:space="preserve">address as a corporate device. Name-based entries are only as trustworthy as name resolution, which on a home network the employee controls. If any entry is kept, bind it to the corporate VPN and require mutual authentication for the path (Annex A, RT-07).</w:t>
      </w:r>
    </w:p>
    <w:bookmarkEnd w:id="28"/>
    <w:bookmarkStart w:id="29" w:name="Xa9a136672b1fdaff65744b2eb0ddd2638549701"/>
    <w:p>
      <w:pPr>
        <w:pStyle w:val="Heading3"/>
      </w:pPr>
      <w:r>
        <w:t xml:space="preserve">4.4 Sanctioned web upload targets on private networks</w:t>
      </w:r>
    </w:p>
    <w:p>
      <w:pPr>
        <w:pStyle w:val="FirstParagraph"/>
      </w:pPr>
      <w:r>
        <w:t xml:space="preserve">Used by a</w:t>
      </w:r>
      <w:r>
        <w:t xml:space="preserve"> </w:t>
      </w:r>
      <w:r>
        <w:rPr>
          <w:bCs/>
          <w:b/>
        </w:rPr>
        <w:t xml:space="preserve">Sensitive service domain group</w:t>
      </w:r>
      <w:r>
        <w:t xml:space="preserve"> </w:t>
      </w:r>
      <w:r>
        <w:t xml:space="preserve">with match type URL, assigned the</w:t>
      </w:r>
      <w:r>
        <w:t xml:space="preserve"> </w:t>
      </w:r>
      <w:r>
        <w:rPr>
          <w:bCs/>
          <w:b/>
        </w:rPr>
        <w:t xml:space="preserve">Allow</w:t>
      </w:r>
      <w:r>
        <w:t xml:space="preserve"> </w:t>
      </w:r>
      <w:r>
        <w:t xml:space="preserve">action in policy. Everything else, including every home NAS web UI, is caught by the Service domains Allow-mode default (any site not on the allow list is restricted).</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011"/>
        <w:gridCol w:w="1035"/>
        <w:gridCol w:w="825"/>
        <w:gridCol w:w="3994"/>
      </w:tblGrid>
      <w:tr>
        <w:trPr>
          <w:tblHeader w:val="true"/>
          <w:tblHeader w:val="true"/>
        </w:trPr>
        <w:tc>
          <w:tcPr>
            <w:tcW w:type="dxa" w:w="4011"/>
            <w:shd w:val="clear" w:color="auto" w:fill="DCE6F1"/>
          </w:tcPr>
          <w:p>
            <w:pPr>
              <w:pStyle w:val="Compact"/>
              <w:spacing w:after="20" w:before="20"/>
              <w:jc w:val="left"/>
            </w:pPr>
            <w:r>
              <w:rPr>
                <w:b/>
                <w:sz w:val="17"/>
              </w:rPr>
              <w:t xml:space="preserve">Target</w:t>
            </w:r>
          </w:p>
        </w:tc>
        <w:tc>
          <w:tcPr>
            <w:tcW w:type="dxa" w:w="1035"/>
            <w:shd w:val="clear" w:color="auto" w:fill="DCE6F1"/>
          </w:tcPr>
          <w:p>
            <w:pPr>
              <w:pStyle w:val="Compact"/>
              <w:spacing w:after="20" w:before="20"/>
              <w:jc w:val="left"/>
            </w:pPr>
            <w:r>
              <w:rPr>
                <w:b/>
                <w:sz w:val="17"/>
              </w:rPr>
              <w:t xml:space="preserve">Address</w:t>
            </w:r>
          </w:p>
        </w:tc>
        <w:tc>
          <w:tcPr>
            <w:tcW w:type="dxa" w:w="825"/>
            <w:shd w:val="clear" w:color="auto" w:fill="DCE6F1"/>
          </w:tcPr>
          <w:p>
            <w:pPr>
              <w:pStyle w:val="Compact"/>
              <w:spacing w:after="20" w:before="20"/>
              <w:jc w:val="left"/>
            </w:pPr>
            <w:r>
              <w:rPr>
                <w:b/>
                <w:sz w:val="17"/>
              </w:rPr>
              <w:t xml:space="preserve">Match type</w:t>
            </w:r>
          </w:p>
        </w:tc>
        <w:tc>
          <w:tcPr>
            <w:tcW w:type="dxa" w:w="3994"/>
            <w:shd w:val="clear" w:color="auto" w:fill="DCE6F1"/>
          </w:tcPr>
          <w:p>
            <w:pPr>
              <w:pStyle w:val="Compact"/>
              <w:spacing w:after="20" w:before="20"/>
              <w:jc w:val="left"/>
            </w:pPr>
            <w:r>
              <w:rPr>
                <w:b/>
                <w:sz w:val="17"/>
              </w:rPr>
              <w:t xml:space="preserve">Notes</w:t>
            </w:r>
          </w:p>
        </w:tc>
      </w:tr>
      <w:tr>
        <w:tc>
          <w:tcPr>
            <w:tcW w:type="dxa" w:w="4011"/>
          </w:tcPr>
          <w:p>
            <w:pPr>
              <w:pStyle w:val="Compact"/>
              <w:spacing w:after="20" w:before="20"/>
              <w:jc w:val="left"/>
            </w:pPr>
            <w:r>
              <w:rPr>
                <w:rStyle w:val="VerbatimChar"/>
                <w:sz w:val="17"/>
              </w:rPr>
              <w:t xml:space="preserve">[TBD]</w:t>
            </w:r>
            <w:r>
              <w:rPr>
                <w:sz w:val="17"/>
              </w:rPr>
              <w:t xml:space="preserve"> </w:t>
            </w:r>
            <w:r>
              <w:rPr>
                <w:sz w:val="17"/>
              </w:rPr>
              <w:t xml:space="preserve">internal web app that accepts file uploads (e.g., DMS, intranet)</w:t>
            </w:r>
          </w:p>
        </w:tc>
        <w:tc>
          <w:tcPr>
            <w:tcW w:type="dxa" w:w="1035"/>
          </w:tcPr>
          <w:p>
            <w:pPr>
              <w:pStyle w:val="Compact"/>
              <w:spacing w:after="20" w:before="20"/>
              <w:jc w:val="left"/>
            </w:pPr>
            <w:r>
              <w:rPr>
                <w:rStyle w:val="VerbatimChar"/>
                <w:sz w:val="17"/>
              </w:rPr>
              <w:t xml:space="preserve">[TBD fqdn]</w:t>
            </w:r>
          </w:p>
        </w:tc>
        <w:tc>
          <w:tcPr>
            <w:tcW w:type="dxa" w:w="825"/>
          </w:tcPr>
          <w:p>
            <w:pPr>
              <w:pStyle w:val="Compact"/>
              <w:spacing w:after="20" w:before="20"/>
              <w:jc w:val="left"/>
            </w:pPr>
            <w:r>
              <w:rPr>
                <w:sz w:val="17"/>
              </w:rPr>
              <w:t xml:space="preserve">URL</w:t>
            </w:r>
          </w:p>
        </w:tc>
        <w:tc>
          <w:tcPr>
            <w:tcW w:type="dxa" w:w="3994"/>
          </w:tcPr>
          <w:p>
            <w:pPr>
              <w:pStyle w:val="Compact"/>
              <w:spacing w:after="20" w:before="20"/>
              <w:jc w:val="left"/>
            </w:pPr>
            <w:r>
              <w:rPr>
                <w:sz w:val="17"/>
              </w:rPr>
              <w:t xml:space="preserve">Only if such apps exist and are reached from managed devices.</w:t>
            </w:r>
          </w:p>
        </w:tc>
      </w:tr>
    </w:tbl>
    <w:p>
      <w:pPr>
        <w:pStyle w:val="BodyText"/>
      </w:pPr>
      <w:r>
        <w:t xml:space="preserve">Expected to be empty or very short for a home-office population. Never add a private IP address or range here.</w:t>
      </w:r>
    </w:p>
    <w:p>
      <w:pPr>
        <w:pStyle w:val="BodyText"/>
      </w:pPr>
      <w:r>
        <w:rPr>
          <w:bCs/>
          <w:b/>
        </w:rPr>
        <w:t xml:space="preserve">Platform note.</w:t>
      </w:r>
      <w:r>
        <w:t xml:space="preserve"> </w:t>
      </w:r>
      <w:r>
        <w:t xml:space="preserve">Upload blocking keyed on an IP address or IP range is supported on Windows only. For the block side this does not matter, because Allow mode restricts any unlisted destination, IP or hostname, on both platforms. Confidence: high (documented).</w:t>
      </w:r>
    </w:p>
    <w:bookmarkEnd w:id="29"/>
    <w:bookmarkStart w:id="30" w:name="Xab70d23b64c6b4dbdd3bb715c3ba68a8ce105fb"/>
    <w:p>
      <w:pPr>
        <w:pStyle w:val="Heading3"/>
      </w:pPr>
      <w:r>
        <w:t xml:space="preserve">4.5 Unsanctioned destinations that need an explicit entry</w:t>
      </w:r>
    </w:p>
    <w:p>
      <w:pPr>
        <w:pStyle w:val="FirstParagraph"/>
      </w:pPr>
      <w:r>
        <w:t xml:space="preserve">In Allow mode, unlisted websites are restricted automatically, so home NAS web UIs, relay portals, and cloud storage need no entry for the upload use cases. Three categories still need explicit configuration because they bypass the browser or because an explicit group is useful for alerting and for Defender for Cloud Apps blocking.</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88"/>
        <w:gridCol w:w="3288"/>
        <w:gridCol w:w="3289"/>
      </w:tblGrid>
      <w:tr>
        <w:trPr>
          <w:tblHeader w:val="true"/>
          <w:tblHeader w:val="true"/>
        </w:trPr>
        <w:tc>
          <w:tcPr>
            <w:tcW w:type="dxa" w:w="3288"/>
            <w:shd w:val="clear" w:color="auto" w:fill="DCE6F1"/>
          </w:tcPr>
          <w:p>
            <w:pPr>
              <w:pStyle w:val="Compact"/>
              <w:spacing w:after="20" w:before="20"/>
              <w:jc w:val="left"/>
            </w:pPr>
            <w:r>
              <w:rPr>
                <w:b/>
                <w:sz w:val="17"/>
              </w:rPr>
              <w:t xml:space="preserve">Category</w:t>
            </w:r>
          </w:p>
        </w:tc>
        <w:tc>
          <w:tcPr>
            <w:tcW w:type="dxa" w:w="3288"/>
            <w:shd w:val="clear" w:color="auto" w:fill="DCE6F1"/>
          </w:tcPr>
          <w:p>
            <w:pPr>
              <w:pStyle w:val="Compact"/>
              <w:spacing w:after="20" w:before="20"/>
              <w:jc w:val="left"/>
            </w:pPr>
            <w:r>
              <w:rPr>
                <w:b/>
                <w:sz w:val="17"/>
              </w:rPr>
              <w:t xml:space="preserve">Mechanism</w:t>
            </w:r>
          </w:p>
        </w:tc>
        <w:tc>
          <w:tcPr>
            <w:tcW w:type="dxa" w:w="3289"/>
            <w:shd w:val="clear" w:color="auto" w:fill="DCE6F1"/>
          </w:tcPr>
          <w:p>
            <w:pPr>
              <w:pStyle w:val="Compact"/>
              <w:spacing w:after="20" w:before="20"/>
              <w:jc w:val="left"/>
            </w:pPr>
            <w:r>
              <w:rPr>
                <w:b/>
                <w:sz w:val="17"/>
              </w:rPr>
              <w:t xml:space="preserve">Entries</w:t>
            </w:r>
          </w:p>
        </w:tc>
      </w:tr>
      <w:tr>
        <w:tc>
          <w:tcPr>
            <w:tcW w:type="dxa" w:w="3288"/>
          </w:tcPr>
          <w:p>
            <w:pPr>
              <w:pStyle w:val="Compact"/>
              <w:spacing w:after="20" w:before="20"/>
              <w:jc w:val="left"/>
            </w:pPr>
            <w:r>
              <w:rPr>
                <w:sz w:val="17"/>
              </w:rPr>
              <w:t xml:space="preserve">Desktop sync clients for cloud storage and home NAS (they bypass the browser)</w:t>
            </w:r>
          </w:p>
        </w:tc>
        <w:tc>
          <w:tcPr>
            <w:tcW w:type="dxa" w:w="3288"/>
          </w:tcPr>
          <w:p>
            <w:pPr>
              <w:pStyle w:val="Compact"/>
              <w:spacing w:after="20" w:before="20"/>
              <w:jc w:val="left"/>
            </w:pPr>
            <w:r>
              <w:rPr>
                <w:sz w:val="17"/>
              </w:rPr>
              <w:t xml:space="preserve">Restricted app group "Unsanctioned sync clients" with Auto-quarantine</w:t>
            </w:r>
          </w:p>
        </w:tc>
        <w:tc>
          <w:tcPr>
            <w:tcW w:type="dxa" w:w="3289"/>
          </w:tcPr>
          <w:p>
            <w:pPr>
              <w:pStyle w:val="Compact"/>
              <w:spacing w:after="20" w:before="20"/>
              <w:jc w:val="left"/>
            </w:pPr>
            <w:r>
              <w:rPr>
                <w:sz w:val="17"/>
              </w:rPr>
              <w:t xml:space="preserve">Windows:</w:t>
            </w:r>
            <w:r>
              <w:rPr>
                <w:sz w:val="17"/>
              </w:rPr>
              <w:t xml:space="preserve"> </w:t>
            </w:r>
            <w:r>
              <w:rPr>
                <w:rStyle w:val="VerbatimChar"/>
                <w:sz w:val="17"/>
              </w:rPr>
              <w:t xml:space="preserve">Dropbox.exe</w:t>
            </w:r>
            <w:r>
              <w:rPr>
                <w:sz w:val="17"/>
              </w:rPr>
              <w:t xml:space="preserve">,</w:t>
            </w:r>
            <w:r>
              <w:rPr>
                <w:sz w:val="17"/>
              </w:rPr>
              <w:t xml:space="preserve"> </w:t>
            </w:r>
            <w:r>
              <w:rPr>
                <w:rStyle w:val="VerbatimChar"/>
                <w:sz w:val="17"/>
              </w:rPr>
              <w:t xml:space="preserve">GoogleDriveFS.exe</w:t>
            </w:r>
            <w:r>
              <w:rPr>
                <w:sz w:val="17"/>
              </w:rPr>
              <w:t xml:space="preserve">,</w:t>
            </w:r>
            <w:r>
              <w:rPr>
                <w:sz w:val="17"/>
              </w:rPr>
              <w:t xml:space="preserve"> </w:t>
            </w:r>
            <w:r>
              <w:rPr>
                <w:rStyle w:val="VerbatimChar"/>
                <w:sz w:val="17"/>
              </w:rPr>
              <w:t xml:space="preserve">Box.exe</w:t>
            </w:r>
            <w:r>
              <w:rPr>
                <w:sz w:val="17"/>
              </w:rPr>
              <w:t xml:space="preserve">,</w:t>
            </w:r>
            <w:r>
              <w:rPr>
                <w:sz w:val="17"/>
              </w:rPr>
              <w:t xml:space="preserve"> </w:t>
            </w:r>
            <w:r>
              <w:rPr>
                <w:rStyle w:val="VerbatimChar"/>
                <w:sz w:val="17"/>
              </w:rPr>
              <w:t xml:space="preserve">iCloudDrive.exe</w:t>
            </w:r>
            <w:r>
              <w:rPr>
                <w:sz w:val="17"/>
              </w:rPr>
              <w:t xml:space="preserve">,</w:t>
            </w:r>
            <w:r>
              <w:rPr>
                <w:sz w:val="17"/>
              </w:rPr>
              <w:t xml:space="preserve"> </w:t>
            </w:r>
            <w:r>
              <w:rPr>
                <w:rStyle w:val="VerbatimChar"/>
                <w:sz w:val="17"/>
              </w:rPr>
              <w:t xml:space="preserve">MEGAsync.exe</w:t>
            </w:r>
            <w:r>
              <w:rPr>
                <w:sz w:val="17"/>
              </w:rPr>
              <w:t xml:space="preserve">,</w:t>
            </w:r>
            <w:r>
              <w:rPr>
                <w:sz w:val="17"/>
              </w:rPr>
              <w:t xml:space="preserve"> </w:t>
            </w:r>
            <w:r>
              <w:rPr>
                <w:rStyle w:val="VerbatimChar"/>
                <w:sz w:val="17"/>
              </w:rPr>
              <w:t xml:space="preserve">nextcloud.exe</w:t>
            </w:r>
            <w:r>
              <w:rPr>
                <w:sz w:val="17"/>
              </w:rPr>
              <w:t xml:space="preserve">,</w:t>
            </w:r>
            <w:r>
              <w:rPr>
                <w:sz w:val="17"/>
              </w:rPr>
              <w:t xml:space="preserve"> </w:t>
            </w:r>
            <w:r>
              <w:rPr>
                <w:rStyle w:val="VerbatimChar"/>
                <w:sz w:val="17"/>
              </w:rPr>
              <w:t xml:space="preserve">owncloud.exe</w:t>
            </w:r>
            <w:r>
              <w:rPr>
                <w:sz w:val="17"/>
              </w:rPr>
              <w:t xml:space="preserve">,</w:t>
            </w:r>
            <w:r>
              <w:rPr>
                <w:sz w:val="17"/>
              </w:rPr>
              <w:t xml:space="preserve"> </w:t>
            </w:r>
            <w:r>
              <w:rPr>
                <w:rStyle w:val="VerbatimChar"/>
                <w:sz w:val="17"/>
              </w:rPr>
              <w:t xml:space="preserve">Resilio Sync.exe</w:t>
            </w:r>
            <w:r>
              <w:rPr>
                <w:sz w:val="17"/>
              </w:rPr>
              <w:t xml:space="preserve">, Synology Drive Client (</w:t>
            </w:r>
            <w:r>
              <w:rPr>
                <w:rStyle w:val="VerbatimChar"/>
                <w:sz w:val="17"/>
              </w:rPr>
              <w:t xml:space="preserve">cloud-drive-ui.exe</w:t>
            </w:r>
            <w:r>
              <w:rPr>
                <w:sz w:val="17"/>
              </w:rPr>
              <w:t xml:space="preserve">,</w:t>
            </w:r>
            <w:r>
              <w:rPr>
                <w:sz w:val="17"/>
              </w:rPr>
              <w:t xml:space="preserve"> </w:t>
            </w:r>
            <w:r>
              <w:rPr>
                <w:rStyle w:val="VerbatimChar"/>
                <w:sz w:val="17"/>
              </w:rPr>
              <w:t xml:space="preserve">cloud-drive-daemon.exe</w:t>
            </w:r>
            <w:r>
              <w:rPr>
                <w:sz w:val="17"/>
              </w:rPr>
              <w:t xml:space="preserve">,</w:t>
            </w:r>
            <w:r>
              <w:rPr>
                <w:sz w:val="17"/>
              </w:rPr>
              <w:t xml:space="preserve"> </w:t>
            </w:r>
            <w:r>
              <w:rPr>
                <w:rStyle w:val="VerbatimChar"/>
                <w:sz w:val="17"/>
              </w:rPr>
              <w:t xml:space="preserve">cloud-drive-connect.exe</w:t>
            </w:r>
            <w:r>
              <w:rPr>
                <w:sz w:val="17"/>
              </w:rPr>
              <w:t xml:space="preserve">), QNAP Qsync (</w:t>
            </w:r>
            <w:r>
              <w:rPr>
                <w:rStyle w:val="VerbatimChar"/>
                <w:sz w:val="17"/>
              </w:rPr>
              <w:t xml:space="preserve">Qsync.exe</w:t>
            </w:r>
            <w:r>
              <w:rPr>
                <w:sz w:val="17"/>
              </w:rPr>
              <w:t xml:space="preserve">,</w:t>
            </w:r>
            <w:r>
              <w:rPr>
                <w:sz w:val="17"/>
              </w:rPr>
              <w:t xml:space="preserve"> </w:t>
            </w:r>
            <w:r>
              <w:rPr>
                <w:rStyle w:val="VerbatimChar"/>
                <w:sz w:val="17"/>
              </w:rPr>
              <w:t xml:space="preserve">QsyncService.exe</w:t>
            </w:r>
            <w:r>
              <w:rPr>
                <w:sz w:val="17"/>
              </w:rPr>
              <w:t xml:space="preserve">), WD Discovery (</w:t>
            </w:r>
            <w:r>
              <w:rPr>
                <w:rStyle w:val="VerbatimChar"/>
                <w:sz w:val="17"/>
              </w:rPr>
              <w:t xml:space="preserve">WD Discovery.exe</w:t>
            </w:r>
            <w:r>
              <w:rPr>
                <w:sz w:val="17"/>
              </w:rPr>
              <w:t xml:space="preserve">),</w:t>
            </w:r>
            <w:r>
              <w:rPr>
                <w:sz w:val="17"/>
              </w:rPr>
              <w:t xml:space="preserve"> </w:t>
            </w:r>
            <w:r>
              <w:rPr>
                <w:rStyle w:val="VerbatimChar"/>
                <w:sz w:val="17"/>
              </w:rPr>
              <w:t xml:space="preserve">[TBD others found in discovery]</w:t>
            </w:r>
            <w:r>
              <w:rPr>
                <w:sz w:val="17"/>
              </w:rPr>
              <w:t xml:space="preserve">. macOS:</w:t>
            </w:r>
            <w:r>
              <w:rPr>
                <w:sz w:val="17"/>
              </w:rPr>
              <w:t xml:space="preserve"> </w:t>
            </w:r>
            <w:r>
              <w:rPr>
                <w:rStyle w:val="VerbatimChar"/>
                <w:sz w:val="17"/>
              </w:rPr>
              <w:t xml:space="preserve">/Applications/Dropbox.app/Contents/MacOS/Dropbox</w:t>
            </w:r>
            <w:r>
              <w:rPr>
                <w:sz w:val="17"/>
              </w:rPr>
              <w:t xml:space="preserve">,</w:t>
            </w:r>
            <w:r>
              <w:rPr>
                <w:sz w:val="17"/>
              </w:rPr>
              <w:t xml:space="preserve"> </w:t>
            </w:r>
            <w:r>
              <w:rPr>
                <w:rStyle w:val="VerbatimChar"/>
                <w:sz w:val="17"/>
              </w:rPr>
              <w:t xml:space="preserve">/Applications/Google Drive.app/Contents/MacOS/Google Drive</w:t>
            </w:r>
            <w:r>
              <w:rPr>
                <w:sz w:val="17"/>
              </w:rPr>
              <w:t xml:space="preserve">,</w:t>
            </w:r>
            <w:r>
              <w:rPr>
                <w:sz w:val="17"/>
              </w:rPr>
              <w:t xml:space="preserve"> </w:t>
            </w:r>
            <w:r>
              <w:rPr>
                <w:rStyle w:val="VerbatimChar"/>
                <w:sz w:val="17"/>
              </w:rPr>
              <w:t xml:space="preserve">/Applications/Box.app/Contents/MacOS/Box</w:t>
            </w:r>
            <w:r>
              <w:rPr>
                <w:sz w:val="17"/>
              </w:rPr>
              <w:t xml:space="preserve">,</w:t>
            </w:r>
            <w:r>
              <w:rPr>
                <w:sz w:val="17"/>
              </w:rPr>
              <w:t xml:space="preserve"> </w:t>
            </w:r>
            <w:r>
              <w:rPr>
                <w:rStyle w:val="VerbatimChar"/>
                <w:sz w:val="17"/>
              </w:rPr>
              <w:t xml:space="preserve">System/Library/PrivateFrameworks/CloudDocsDaemon.framework/Versions/A/Support/bird</w:t>
            </w:r>
            <w:r>
              <w:rPr>
                <w:sz w:val="17"/>
              </w:rPr>
              <w:t xml:space="preserve"> </w:t>
            </w:r>
            <w:r>
              <w:rPr>
                <w:sz w:val="17"/>
              </w:rPr>
              <w:t xml:space="preserve">(iCloud),</w:t>
            </w:r>
            <w:r>
              <w:rPr>
                <w:sz w:val="17"/>
              </w:rPr>
              <w:t xml:space="preserve"> </w:t>
            </w:r>
            <w:r>
              <w:rPr>
                <w:rStyle w:val="VerbatimChar"/>
                <w:sz w:val="17"/>
              </w:rPr>
              <w:t xml:space="preserve">/Applications/Synology Drive Client.app/Contents/MacOS/Synology Drive Client</w:t>
            </w:r>
            <w:r>
              <w:rPr>
                <w:sz w:val="17"/>
              </w:rPr>
              <w:t xml:space="preserve">,</w:t>
            </w:r>
            <w:r>
              <w:rPr>
                <w:sz w:val="17"/>
              </w:rPr>
              <w:t xml:space="preserve"> </w:t>
            </w:r>
            <w:r>
              <w:rPr>
                <w:rStyle w:val="VerbatimChar"/>
                <w:sz w:val="17"/>
              </w:rPr>
              <w:t xml:space="preserve">/Applications/Qsync Client.app/Contents/MacOS/Qsync Client</w:t>
            </w:r>
            <w:r>
              <w:rPr>
                <w:sz w:val="17"/>
              </w:rPr>
              <w:t xml:space="preserve">,</w:t>
            </w:r>
            <w:r>
              <w:rPr>
                <w:sz w:val="17"/>
              </w:rPr>
              <w:t xml:space="preserve"> </w:t>
            </w:r>
            <w:r>
              <w:rPr>
                <w:rStyle w:val="VerbatimChar"/>
                <w:sz w:val="17"/>
              </w:rPr>
              <w:t xml:space="preserve">[TBD]</w:t>
            </w:r>
            <w:r>
              <w:rPr>
                <w:sz w:val="17"/>
              </w:rPr>
              <w:t xml:space="preserve">. Executable names and paths must be verified against the versions found in the Defender software inventory; vendor binaries change names between releases. Better still: prevent installation of these clients with Intune application control, and treat the DLP group as the second line.</w:t>
            </w:r>
          </w:p>
        </w:tc>
      </w:tr>
      <w:tr>
        <w:tc>
          <w:tcPr>
            <w:tcW w:type="dxa" w:w="3288"/>
          </w:tcPr>
          <w:p>
            <w:pPr>
              <w:pStyle w:val="Compact"/>
              <w:spacing w:after="20" w:before="20"/>
              <w:jc w:val="left"/>
            </w:pPr>
            <w:r>
              <w:rPr>
                <w:sz w:val="17"/>
              </w:rPr>
              <w:t xml:space="preserve">Home NAS web UIs and other private-network storage (explicit Block group for alert attribution only; IP ranges do not support the paste action)</w:t>
            </w:r>
          </w:p>
        </w:tc>
        <w:tc>
          <w:tcPr>
            <w:tcW w:type="dxa" w:w="3288"/>
          </w:tcPr>
          <w:p>
            <w:pPr>
              <w:pStyle w:val="Compact"/>
              <w:spacing w:after="20" w:before="20"/>
              <w:jc w:val="left"/>
            </w:pPr>
            <w:r>
              <w:rPr>
                <w:sz w:val="17"/>
              </w:rPr>
              <w:t xml:space="preserve">Sensitive service domain group "Private network storage" with IP range match (upload action)</w:t>
            </w:r>
          </w:p>
        </w:tc>
        <w:tc>
          <w:tcPr>
            <w:tcW w:type="dxa" w:w="3289"/>
          </w:tcPr>
          <w:p>
            <w:pPr>
              <w:pStyle w:val="Compact"/>
              <w:spacing w:after="20" w:before="20"/>
              <w:jc w:val="left"/>
            </w:pPr>
            <w:r>
              <w:rPr>
                <w:rStyle w:val="VerbatimChar"/>
                <w:sz w:val="17"/>
              </w:rPr>
              <w:t xml:space="preserve">10.0.0.0-10.255.255.255</w:t>
            </w:r>
            <w:r>
              <w:rPr>
                <w:sz w:val="17"/>
              </w:rPr>
              <w:t xml:space="preserve">,</w:t>
            </w:r>
            <w:r>
              <w:rPr>
                <w:sz w:val="17"/>
              </w:rPr>
              <w:t xml:space="preserve"> </w:t>
            </w:r>
            <w:r>
              <w:rPr>
                <w:rStyle w:val="VerbatimChar"/>
                <w:sz w:val="17"/>
              </w:rPr>
              <w:t xml:space="preserve">172.16.0.0-172.31.255.255</w:t>
            </w:r>
            <w:r>
              <w:rPr>
                <w:sz w:val="17"/>
              </w:rPr>
              <w:t xml:space="preserve">,</w:t>
            </w:r>
            <w:r>
              <w:rPr>
                <w:sz w:val="17"/>
              </w:rPr>
              <w:t xml:space="preserve"> </w:t>
            </w:r>
            <w:r>
              <w:rPr>
                <w:rStyle w:val="VerbatimChar"/>
                <w:sz w:val="17"/>
              </w:rPr>
              <w:t xml:space="preserve">192.168.0.0-192.168.255.255</w:t>
            </w:r>
            <w:r>
              <w:rPr>
                <w:sz w:val="17"/>
              </w:rPr>
              <w:t xml:space="preserve">,</w:t>
            </w:r>
            <w:r>
              <w:rPr>
                <w:sz w:val="17"/>
              </w:rPr>
              <w:t xml:space="preserve"> </w:t>
            </w:r>
            <w:r>
              <w:rPr>
                <w:rStyle w:val="VerbatimChar"/>
                <w:sz w:val="17"/>
              </w:rPr>
              <w:t xml:space="preserve">169.254.0.0-169.254.255.255</w:t>
            </w:r>
            <w:r>
              <w:rPr>
                <w:sz w:val="17"/>
              </w:rPr>
              <w:t xml:space="preserve">,</w:t>
            </w:r>
            <w:r>
              <w:rPr>
                <w:sz w:val="17"/>
              </w:rPr>
              <w:t xml:space="preserve"> </w:t>
            </w:r>
            <w:r>
              <w:rPr>
                <w:rStyle w:val="VerbatimChar"/>
                <w:sz w:val="17"/>
              </w:rPr>
              <w:t xml:space="preserve">fc00::</w:t>
            </w:r>
            <w:r>
              <w:rPr>
                <w:sz w:val="17"/>
              </w:rPr>
              <w:t xml:space="preserve"> </w:t>
            </w:r>
            <w:r>
              <w:rPr>
                <w:sz w:val="17"/>
              </w:rPr>
              <w:t xml:space="preserve">range if IPv6 is in use.</w:t>
            </w:r>
            <w:r>
              <w:rPr>
                <w:sz w:val="17"/>
              </w:rPr>
              <w:t xml:space="preserve"> </w:t>
            </w:r>
            <w:r>
              <w:rPr>
                <w:bCs/>
                <w:b/>
                <w:sz w:val="17"/>
              </w:rPr>
              <w:t xml:space="preserve">Corrected in v0.3.</w:t>
            </w:r>
            <w:r>
              <w:rPr>
                <w:sz w:val="17"/>
              </w:rPr>
              <w:t xml:space="preserve"> </w:t>
            </w:r>
            <w:r>
              <w:rPr>
                <w:sz w:val="17"/>
              </w:rPr>
              <w:t xml:space="preserve">Endpoint DLP applies the most restrictive action when groups or policies conflict, so an overlapping Block range will most likely override the Allow URL group in 4.4. Do not overlap. Either drop this group, because the Allow-mode default already restricts these addresses and the group only adds alert attribution, or carve the sanctioned internal app addresses out of the ranges. Confidence: medium-high (Annex A, RT-08).</w:t>
            </w:r>
          </w:p>
        </w:tc>
      </w:tr>
      <w:tr>
        <w:tc>
          <w:tcPr>
            <w:tcW w:type="dxa" w:w="3288"/>
          </w:tcPr>
          <w:p>
            <w:pPr>
              <w:pStyle w:val="Compact"/>
              <w:spacing w:after="20" w:before="20"/>
              <w:jc w:val="left"/>
            </w:pPr>
            <w:r>
              <w:rPr>
                <w:sz w:val="17"/>
              </w:rPr>
              <w:t xml:space="preserve">NAS vendor relay and remote-access services (reachable from any network, so they are also cloud storage)</w:t>
            </w:r>
          </w:p>
        </w:tc>
        <w:tc>
          <w:tcPr>
            <w:tcW w:type="dxa" w:w="3288"/>
          </w:tcPr>
          <w:p>
            <w:pPr>
              <w:pStyle w:val="Compact"/>
              <w:spacing w:after="20" w:before="20"/>
              <w:jc w:val="left"/>
            </w:pPr>
            <w:r>
              <w:rPr>
                <w:sz w:val="17"/>
              </w:rPr>
              <w:t xml:space="preserve">Sensitive service domain group "NAS relay services" (URL match) = Block; also tag as Unsanctioned in Defender for Cloud Apps for network-level blocking (11.1)</w:t>
            </w:r>
          </w:p>
        </w:tc>
        <w:tc>
          <w:tcPr>
            <w:tcW w:type="dxa" w:w="3289"/>
          </w:tcPr>
          <w:p>
            <w:pPr>
              <w:pStyle w:val="Compact"/>
              <w:spacing w:after="20" w:before="20"/>
              <w:jc w:val="left"/>
            </w:pPr>
            <w:r>
              <w:rPr>
                <w:rStyle w:val="VerbatimChar"/>
                <w:sz w:val="17"/>
              </w:rPr>
              <w:t xml:space="preserve">*.quickconnect.to</w:t>
            </w:r>
            <w:r>
              <w:rPr>
                <w:sz w:val="17"/>
              </w:rPr>
              <w:t xml:space="preserve">,</w:t>
            </w:r>
            <w:r>
              <w:rPr>
                <w:sz w:val="17"/>
              </w:rPr>
              <w:t xml:space="preserve"> </w:t>
            </w:r>
            <w:r>
              <w:rPr>
                <w:rStyle w:val="VerbatimChar"/>
                <w:sz w:val="17"/>
              </w:rPr>
              <w:t xml:space="preserve">*.synology.me</w:t>
            </w:r>
            <w:r>
              <w:rPr>
                <w:sz w:val="17"/>
              </w:rPr>
              <w:t xml:space="preserve">,</w:t>
            </w:r>
            <w:r>
              <w:rPr>
                <w:sz w:val="17"/>
              </w:rPr>
              <w:t xml:space="preserve"> </w:t>
            </w:r>
            <w:r>
              <w:rPr>
                <w:rStyle w:val="VerbatimChar"/>
                <w:sz w:val="17"/>
              </w:rPr>
              <w:t xml:space="preserve">*.synology.com</w:t>
            </w:r>
            <w:r>
              <w:rPr>
                <w:sz w:val="17"/>
              </w:rPr>
              <w:t xml:space="preserve"> </w:t>
            </w:r>
            <w:r>
              <w:rPr>
                <w:sz w:val="17"/>
              </w:rPr>
              <w:t xml:space="preserve">(DSM relay paths only; verify),</w:t>
            </w:r>
            <w:r>
              <w:rPr>
                <w:sz w:val="17"/>
              </w:rPr>
              <w:t xml:space="preserve"> </w:t>
            </w:r>
            <w:r>
              <w:rPr>
                <w:rStyle w:val="VerbatimChar"/>
                <w:sz w:val="17"/>
              </w:rPr>
              <w:t xml:space="preserve">*.myqnapcloud.com</w:t>
            </w:r>
            <w:r>
              <w:rPr>
                <w:sz w:val="17"/>
              </w:rPr>
              <w:t xml:space="preserve">,</w:t>
            </w:r>
            <w:r>
              <w:rPr>
                <w:sz w:val="17"/>
              </w:rPr>
              <w:t xml:space="preserve"> </w:t>
            </w:r>
            <w:r>
              <w:rPr>
                <w:rStyle w:val="VerbatimChar"/>
                <w:sz w:val="17"/>
              </w:rPr>
              <w:t xml:space="preserve">*.qnap.com</w:t>
            </w:r>
            <w:r>
              <w:rPr>
                <w:sz w:val="17"/>
              </w:rPr>
              <w:t xml:space="preserve"> </w:t>
            </w:r>
            <w:r>
              <w:rPr>
                <w:sz w:val="17"/>
              </w:rPr>
              <w:t xml:space="preserve">relay hosts (verify),</w:t>
            </w:r>
            <w:r>
              <w:rPr>
                <w:sz w:val="17"/>
              </w:rPr>
              <w:t xml:space="preserve"> </w:t>
            </w:r>
            <w:r>
              <w:rPr>
                <w:rStyle w:val="VerbatimChar"/>
                <w:sz w:val="17"/>
              </w:rPr>
              <w:t xml:space="preserve">*.mycloud.com</w:t>
            </w:r>
            <w:r>
              <w:rPr>
                <w:sz w:val="17"/>
              </w:rPr>
              <w:t xml:space="preserve">,</w:t>
            </w:r>
            <w:r>
              <w:rPr>
                <w:sz w:val="17"/>
              </w:rPr>
              <w:t xml:space="preserve"> </w:t>
            </w:r>
            <w:r>
              <w:rPr>
                <w:rStyle w:val="VerbatimChar"/>
                <w:sz w:val="17"/>
              </w:rPr>
              <w:t xml:space="preserve">*.wd2go.com</w:t>
            </w:r>
            <w:r>
              <w:rPr>
                <w:sz w:val="17"/>
              </w:rPr>
              <w:t xml:space="preserve">,</w:t>
            </w:r>
            <w:r>
              <w:rPr>
                <w:sz w:val="17"/>
              </w:rPr>
              <w:t xml:space="preserve"> </w:t>
            </w:r>
            <w:r>
              <w:rPr>
                <w:rStyle w:val="VerbatimChar"/>
                <w:sz w:val="17"/>
              </w:rPr>
              <w:t xml:space="preserve">*.myfritz.net</w:t>
            </w:r>
            <w:r>
              <w:rPr>
                <w:sz w:val="17"/>
              </w:rPr>
              <w:t xml:space="preserve">,</w:t>
            </w:r>
            <w:r>
              <w:rPr>
                <w:sz w:val="17"/>
              </w:rPr>
              <w:t xml:space="preserve"> </w:t>
            </w:r>
            <w:r>
              <w:rPr>
                <w:rStyle w:val="VerbatimChar"/>
                <w:sz w:val="17"/>
              </w:rPr>
              <w:t xml:space="preserve">*.asustor.com</w:t>
            </w:r>
            <w:r>
              <w:rPr>
                <w:sz w:val="17"/>
              </w:rPr>
              <w:t xml:space="preserve"> </w:t>
            </w:r>
            <w:r>
              <w:rPr>
                <w:sz w:val="17"/>
              </w:rPr>
              <w:t xml:space="preserve">EZ-Connect hosts (verify),</w:t>
            </w:r>
            <w:r>
              <w:rPr>
                <w:sz w:val="17"/>
              </w:rPr>
              <w:t xml:space="preserve"> </w:t>
            </w:r>
            <w:r>
              <w:rPr>
                <w:rStyle w:val="VerbatimChar"/>
                <w:sz w:val="17"/>
              </w:rPr>
              <w:t xml:space="preserve">*.terramaster.com</w:t>
            </w:r>
            <w:r>
              <w:rPr>
                <w:sz w:val="17"/>
              </w:rPr>
              <w:t xml:space="preserve"> </w:t>
            </w:r>
            <w:r>
              <w:rPr>
                <w:sz w:val="17"/>
              </w:rPr>
              <w:t xml:space="preserve">TNAS.online hosts (verify),</w:t>
            </w:r>
            <w:r>
              <w:rPr>
                <w:sz w:val="17"/>
              </w:rPr>
              <w:t xml:space="preserve"> </w:t>
            </w:r>
            <w:r>
              <w:rPr>
                <w:rStyle w:val="VerbatimChar"/>
                <w:sz w:val="17"/>
              </w:rPr>
              <w:t xml:space="preserve">[TBD others from Cloud Discovery]</w:t>
            </w:r>
            <w:r>
              <w:rPr>
                <w:sz w:val="17"/>
              </w:rPr>
              <w:t xml:space="preserve">. Vendor relay hostnames change; confirm against Cloud Discovery data before enforcement.</w:t>
            </w:r>
          </w:p>
        </w:tc>
      </w:tr>
    </w:tbl>
    <w:bookmarkEnd w:id="30"/>
    <w:bookmarkStart w:id="31" w:name="Xefabc8d4d18ee0ae498f3d0c3ab66fdc1312d99"/>
    <w:p>
      <w:pPr>
        <w:pStyle w:val="Heading3"/>
      </w:pPr>
      <w:r>
        <w:t xml:space="preserve">4.6 Browsers</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698"/>
        <w:gridCol w:w="1905"/>
        <w:gridCol w:w="2449"/>
        <w:gridCol w:w="3813"/>
      </w:tblGrid>
      <w:tr>
        <w:trPr>
          <w:tblHeader w:val="true"/>
          <w:tblHeader w:val="true"/>
        </w:trPr>
        <w:tc>
          <w:tcPr>
            <w:tcW w:type="dxa" w:w="1698"/>
            <w:shd w:val="clear" w:color="auto" w:fill="DCE6F1"/>
          </w:tcPr>
          <w:p>
            <w:pPr>
              <w:pStyle w:val="Compact"/>
              <w:spacing w:after="20" w:before="20"/>
              <w:jc w:val="left"/>
            </w:pPr>
            <w:r>
              <w:rPr>
                <w:b/>
                <w:sz w:val="17"/>
              </w:rPr>
              <w:t xml:space="preserve">Browser</w:t>
            </w:r>
          </w:p>
        </w:tc>
        <w:tc>
          <w:tcPr>
            <w:tcW w:type="dxa" w:w="1905"/>
            <w:shd w:val="clear" w:color="auto" w:fill="DCE6F1"/>
          </w:tcPr>
          <w:p>
            <w:pPr>
              <w:pStyle w:val="Compact"/>
              <w:spacing w:after="20" w:before="20"/>
              <w:jc w:val="left"/>
            </w:pPr>
            <w:r>
              <w:rPr>
                <w:b/>
                <w:sz w:val="17"/>
              </w:rPr>
              <w:t xml:space="preserve">Windows</w:t>
            </w:r>
          </w:p>
        </w:tc>
        <w:tc>
          <w:tcPr>
            <w:tcW w:type="dxa" w:w="2449"/>
            <w:shd w:val="clear" w:color="auto" w:fill="DCE6F1"/>
          </w:tcPr>
          <w:p>
            <w:pPr>
              <w:pStyle w:val="Compact"/>
              <w:spacing w:after="20" w:before="20"/>
              <w:jc w:val="left"/>
            </w:pPr>
            <w:r>
              <w:rPr>
                <w:b/>
                <w:sz w:val="17"/>
              </w:rPr>
              <w:t xml:space="preserve">macOS</w:t>
            </w:r>
          </w:p>
        </w:tc>
        <w:tc>
          <w:tcPr>
            <w:tcW w:type="dxa" w:w="3813"/>
            <w:shd w:val="clear" w:color="auto" w:fill="DCE6F1"/>
          </w:tcPr>
          <w:p>
            <w:pPr>
              <w:pStyle w:val="Compact"/>
              <w:spacing w:after="20" w:before="20"/>
              <w:jc w:val="left"/>
            </w:pPr>
            <w:r>
              <w:rPr>
                <w:b/>
                <w:sz w:val="17"/>
              </w:rPr>
              <w:t xml:space="preserve">Required deployment step</w:t>
            </w:r>
          </w:p>
        </w:tc>
      </w:tr>
      <w:tr>
        <w:tc>
          <w:tcPr>
            <w:tcW w:type="dxa" w:w="1698"/>
          </w:tcPr>
          <w:p>
            <w:pPr>
              <w:pStyle w:val="Compact"/>
              <w:spacing w:after="20" w:before="20"/>
              <w:jc w:val="left"/>
            </w:pPr>
            <w:r>
              <w:rPr>
                <w:sz w:val="17"/>
              </w:rPr>
              <w:t xml:space="preserve">Microsoft Edge</w:t>
            </w:r>
          </w:p>
        </w:tc>
        <w:tc>
          <w:tcPr>
            <w:tcW w:type="dxa" w:w="1905"/>
          </w:tcPr>
          <w:p>
            <w:pPr>
              <w:pStyle w:val="Compact"/>
              <w:spacing w:after="20" w:before="20"/>
              <w:jc w:val="left"/>
            </w:pPr>
            <w:r>
              <w:rPr>
                <w:sz w:val="17"/>
              </w:rPr>
              <w:t xml:space="preserve">Native, all actions</w:t>
            </w:r>
          </w:p>
        </w:tc>
        <w:tc>
          <w:tcPr>
            <w:tcW w:type="dxa" w:w="2449"/>
          </w:tcPr>
          <w:p>
            <w:pPr>
              <w:pStyle w:val="Compact"/>
              <w:spacing w:after="20" w:before="20"/>
              <w:jc w:val="left"/>
            </w:pPr>
            <w:r>
              <w:rPr>
                <w:sz w:val="17"/>
              </w:rPr>
              <w:t xml:space="preserve">Native</w:t>
            </w:r>
          </w:p>
        </w:tc>
        <w:tc>
          <w:tcPr>
            <w:tcW w:type="dxa" w:w="3813"/>
          </w:tcPr>
          <w:p>
            <w:pPr>
              <w:pStyle w:val="Compact"/>
              <w:spacing w:after="20" w:before="20"/>
              <w:jc w:val="left"/>
            </w:pPr>
            <w:r>
              <w:rPr>
                <w:sz w:val="17"/>
              </w:rPr>
              <w:t xml:space="preserve">None</w:t>
            </w:r>
          </w:p>
        </w:tc>
      </w:tr>
      <w:tr>
        <w:tc>
          <w:tcPr>
            <w:tcW w:type="dxa" w:w="1698"/>
          </w:tcPr>
          <w:p>
            <w:pPr>
              <w:pStyle w:val="Compact"/>
              <w:spacing w:after="20" w:before="20"/>
              <w:jc w:val="left"/>
            </w:pPr>
            <w:r>
              <w:rPr>
                <w:sz w:val="17"/>
              </w:rPr>
              <w:t xml:space="preserve">Google Chrome</w:t>
            </w:r>
          </w:p>
        </w:tc>
        <w:tc>
          <w:tcPr>
            <w:tcW w:type="dxa" w:w="1905"/>
          </w:tcPr>
          <w:p>
            <w:pPr>
              <w:pStyle w:val="Compact"/>
              <w:spacing w:after="20" w:before="20"/>
              <w:jc w:val="left"/>
            </w:pPr>
            <w:r>
              <w:rPr>
                <w:sz w:val="17"/>
              </w:rPr>
              <w:t xml:space="preserve">Upload and paste control via Microsoft Purview extension</w:t>
            </w:r>
          </w:p>
        </w:tc>
        <w:tc>
          <w:tcPr>
            <w:tcW w:type="dxa" w:w="2449"/>
          </w:tcPr>
          <w:p>
            <w:pPr>
              <w:pStyle w:val="Compact"/>
              <w:spacing w:after="20" w:before="20"/>
              <w:jc w:val="left"/>
            </w:pPr>
            <w:r>
              <w:rPr>
                <w:sz w:val="17"/>
              </w:rPr>
              <w:t xml:space="preserve">Native, no extension; depends on the Endpoint DLP client's macOS permission</w:t>
            </w:r>
          </w:p>
        </w:tc>
        <w:tc>
          <w:tcPr>
            <w:tcW w:type="dxa" w:w="3813"/>
          </w:tcPr>
          <w:p>
            <w:pPr>
              <w:pStyle w:val="Compact"/>
              <w:spacing w:after="20" w:before="20"/>
              <w:jc w:val="left"/>
            </w:pPr>
            <w:r>
              <w:rPr>
                <w:sz w:val="17"/>
              </w:rPr>
              <w:t xml:space="preserve">Windows: deploy and force-install the extension via Intune/GPO; add to Unallowed browsers only if the extension cannot be deployed. macOS: deploy the permission via MDM.</w:t>
            </w:r>
          </w:p>
        </w:tc>
      </w:tr>
      <w:tr>
        <w:tc>
          <w:tcPr>
            <w:tcW w:type="dxa" w:w="1698"/>
          </w:tcPr>
          <w:p>
            <w:pPr>
              <w:pStyle w:val="Compact"/>
              <w:spacing w:after="20" w:before="20"/>
              <w:jc w:val="left"/>
            </w:pPr>
            <w:r>
              <w:rPr>
                <w:sz w:val="17"/>
              </w:rPr>
              <w:t xml:space="preserve">Mozilla Firefox</w:t>
            </w:r>
          </w:p>
        </w:tc>
        <w:tc>
          <w:tcPr>
            <w:tcW w:type="dxa" w:w="1905"/>
          </w:tcPr>
          <w:p>
            <w:pPr>
              <w:pStyle w:val="Compact"/>
              <w:spacing w:after="20" w:before="20"/>
              <w:jc w:val="left"/>
            </w:pPr>
            <w:r>
              <w:rPr>
                <w:sz w:val="17"/>
              </w:rPr>
              <w:t xml:space="preserve">Upload and paste control via Microsoft Purview extension</w:t>
            </w:r>
          </w:p>
        </w:tc>
        <w:tc>
          <w:tcPr>
            <w:tcW w:type="dxa" w:w="2449"/>
          </w:tcPr>
          <w:p>
            <w:pPr>
              <w:pStyle w:val="Compact"/>
              <w:spacing w:after="20" w:before="20"/>
              <w:jc w:val="left"/>
            </w:pPr>
            <w:r>
              <w:rPr>
                <w:sz w:val="17"/>
              </w:rPr>
              <w:t xml:space="preserve">Native, no extension; same as Chrome</w:t>
            </w:r>
          </w:p>
        </w:tc>
        <w:tc>
          <w:tcPr>
            <w:tcW w:type="dxa" w:w="3813"/>
          </w:tcPr>
          <w:p>
            <w:pPr>
              <w:pStyle w:val="Compact"/>
              <w:spacing w:after="20" w:before="20"/>
              <w:jc w:val="left"/>
            </w:pPr>
            <w:r>
              <w:rPr>
                <w:sz w:val="17"/>
              </w:rPr>
              <w:t xml:space="preserve">Same as Chrome.</w:t>
            </w:r>
          </w:p>
        </w:tc>
      </w:tr>
      <w:tr>
        <w:tc>
          <w:tcPr>
            <w:tcW w:type="dxa" w:w="1698"/>
          </w:tcPr>
          <w:p>
            <w:pPr>
              <w:pStyle w:val="Compact"/>
              <w:spacing w:after="20" w:before="20"/>
              <w:jc w:val="left"/>
            </w:pPr>
            <w:r>
              <w:rPr>
                <w:sz w:val="17"/>
              </w:rPr>
              <w:t xml:space="preserve">Safari</w:t>
            </w:r>
          </w:p>
        </w:tc>
        <w:tc>
          <w:tcPr>
            <w:tcW w:type="dxa" w:w="1905"/>
          </w:tcPr>
          <w:p>
            <w:pPr>
              <w:pStyle w:val="Compact"/>
              <w:spacing w:after="20" w:before="20"/>
              <w:jc w:val="left"/>
            </w:pPr>
            <w:r>
              <w:rPr>
                <w:sz w:val="17"/>
              </w:rPr>
              <w:t xml:space="preserve">n/a</w:t>
            </w:r>
          </w:p>
        </w:tc>
        <w:tc>
          <w:tcPr>
            <w:tcW w:type="dxa" w:w="2449"/>
          </w:tcPr>
          <w:p>
            <w:pPr>
              <w:pStyle w:val="Compact"/>
              <w:spacing w:after="20" w:before="20"/>
              <w:jc w:val="left"/>
            </w:pPr>
            <w:r>
              <w:rPr>
                <w:sz w:val="17"/>
              </w:rPr>
              <w:t xml:space="preserve">Native</w:t>
            </w:r>
          </w:p>
        </w:tc>
        <w:tc>
          <w:tcPr>
            <w:tcW w:type="dxa" w:w="3813"/>
          </w:tcPr>
          <w:p>
            <w:pPr>
              <w:pStyle w:val="Compact"/>
              <w:spacing w:after="20" w:before="20"/>
              <w:jc w:val="left"/>
            </w:pPr>
            <w:r>
              <w:rPr>
                <w:sz w:val="17"/>
              </w:rPr>
              <w:t xml:space="preserve">None</w:t>
            </w:r>
          </w:p>
        </w:tc>
      </w:tr>
      <w:tr>
        <w:tc>
          <w:tcPr>
            <w:tcW w:type="dxa" w:w="1698"/>
          </w:tcPr>
          <w:p>
            <w:pPr>
              <w:pStyle w:val="Compact"/>
              <w:spacing w:after="20" w:before="20"/>
              <w:jc w:val="left"/>
            </w:pPr>
            <w:r>
              <w:rPr>
                <w:sz w:val="17"/>
              </w:rPr>
              <w:t xml:space="preserve">Any other browser (Brave, Opera, Vivaldi, Tor, etc.)</w:t>
            </w:r>
          </w:p>
        </w:tc>
        <w:tc>
          <w:tcPr>
            <w:tcW w:type="dxa" w:w="1905"/>
          </w:tcPr>
          <w:p>
            <w:pPr>
              <w:pStyle w:val="Compact"/>
              <w:spacing w:after="20" w:before="20"/>
              <w:jc w:val="left"/>
            </w:pPr>
            <w:r>
              <w:rPr>
                <w:sz w:val="17"/>
              </w:rPr>
              <w:t xml:space="preserve">Add executable name to</w:t>
            </w:r>
            <w:r>
              <w:rPr>
                <w:sz w:val="17"/>
              </w:rPr>
              <w:t xml:space="preserve"> </w:t>
            </w:r>
            <w:r>
              <w:rPr>
                <w:bCs/>
                <w:b/>
                <w:sz w:val="17"/>
              </w:rPr>
              <w:t xml:space="preserve">Unallowed browsers</w:t>
            </w:r>
          </w:p>
        </w:tc>
        <w:tc>
          <w:tcPr>
            <w:tcW w:type="dxa" w:w="2449"/>
          </w:tcPr>
          <w:p>
            <w:pPr>
              <w:pStyle w:val="Compact"/>
              <w:spacing w:after="20" w:before="20"/>
              <w:jc w:val="left"/>
            </w:pPr>
            <w:r>
              <w:rPr>
                <w:sz w:val="17"/>
              </w:rPr>
              <w:t xml:space="preserve">Add full app path to Unallowed browsers</w:t>
            </w:r>
          </w:p>
        </w:tc>
        <w:tc>
          <w:tcPr>
            <w:tcW w:type="dxa" w:w="3813"/>
          </w:tcPr>
          <w:p>
            <w:pPr>
              <w:pStyle w:val="Compact"/>
              <w:spacing w:after="20" w:before="20"/>
              <w:jc w:val="left"/>
            </w:pPr>
            <w:r>
              <w:rPr>
                <w:sz w:val="17"/>
              </w:rPr>
              <w:t xml:space="preserve">Blocked from opening protected files; user is redirected to Edge.</w:t>
            </w:r>
          </w:p>
        </w:tc>
      </w:tr>
    </w:tbl>
    <w:p>
      <w:pPr>
        <w:pStyle w:val="BodyText"/>
      </w:pPr>
      <w:r>
        <w:rPr>
          <w:bCs/>
          <w:b/>
        </w:rPr>
        <w:t xml:space="preserve">Red-team note.</w:t>
      </w:r>
      <w:r>
        <w:t xml:space="preserve"> </w:t>
      </w:r>
      <w:r>
        <w:t xml:space="preserve">The Unallowed browsers list matches on executable name or path, so a renamed browser binary does not match. Application control is the real control here (Annex A, RT-11). On macOS 27 the user can revoke the Endpoint DLP permission; set the restricted protection modes to Enforce (Annex A, RT-12). The macOS rows were corrected in v0.3.</w:t>
      </w:r>
    </w:p>
    <w:p>
      <w:r>
        <w:pict>
          <v:rect style="width:0;height:1.5pt" o:hralign="center" o:hrstd="t" o:hr="t"/>
        </w:pict>
      </w:r>
    </w:p>
    <w:bookmarkEnd w:id="31"/>
    <w:bookmarkEnd w:id="32"/>
    <w:bookmarkStart w:id="46" w:name="Xe4213d390c8ef336a87ec2f264d57d13d18c189"/>
    <w:p>
      <w:pPr>
        <w:pStyle w:val="Heading2"/>
      </w:pPr>
      <w:r>
        <w:t xml:space="preserve">5. Use cases</w:t>
      </w:r>
    </w:p>
    <w:p>
      <w:pPr>
        <w:pStyle w:val="FirstParagraph"/>
      </w:pPr>
      <w:r>
        <w:t xml:space="preserve">Each use case uses the same shape: who does what, what must happen, which Purview control does it, where it works, how to test it, and what it does not cover. Confidence grades:</w:t>
      </w:r>
      <w:r>
        <w:t xml:space="preserve"> </w:t>
      </w:r>
      <w:r>
        <w:rPr>
          <w:bCs/>
          <w:b/>
        </w:rPr>
        <w:t xml:space="preserve">High</w:t>
      </w:r>
      <w:r>
        <w:t xml:space="preserve"> </w:t>
      </w:r>
      <w:r>
        <w:t xml:space="preserve">= behavior documented by Microsoft and verified on 2026-10-23.</w:t>
      </w:r>
      <w:r>
        <w:t xml:space="preserve"> </w:t>
      </w:r>
      <w:r>
        <w:rPr>
          <w:bCs/>
          <w:b/>
        </w:rPr>
        <w:t xml:space="preserve">Medium</w:t>
      </w:r>
      <w:r>
        <w:t xml:space="preserve"> </w:t>
      </w:r>
      <w:r>
        <w:t xml:space="preserve">= documented but in preview, platform-limited, or dependent on configuration details.</w:t>
      </w:r>
      <w:r>
        <w:t xml:space="preserve"> </w:t>
      </w:r>
      <w:r>
        <w:rPr>
          <w:bCs/>
          <w:b/>
        </w:rPr>
        <w:t xml:space="preserve">Low</w:t>
      </w:r>
      <w:r>
        <w:t xml:space="preserve"> </w:t>
      </w:r>
      <w:r>
        <w:t xml:space="preserve">= inferred, needs lab validation.</w:t>
      </w:r>
    </w:p>
    <w:bookmarkStart w:id="33" w:name="X4f3f8da1d8dba94c81a0c260e111b54c9dc9722"/>
    <w:p>
      <w:pPr>
        <w:pStyle w:val="Heading3"/>
      </w:pPr>
      <w:r>
        <w:t xml:space="preserve">UC-01 Copy a labeled file to a home NAS over SMB/CIFS</w:t>
      </w:r>
    </w:p>
    <w:p>
      <w:pPr>
        <w:numPr>
          <w:ilvl w:val="0"/>
          <w:numId w:val="1004"/>
        </w:numPr>
        <w:pStyle w:val="Compact"/>
      </w:pPr>
      <w:r>
        <w:rPr>
          <w:bCs/>
          <w:b/>
        </w:rPr>
        <w:t xml:space="preserve">Story.</w:t>
      </w:r>
      <w:r>
        <w:t xml:space="preserve"> </w:t>
      </w:r>
      <w:r>
        <w:t xml:space="preserve">An employee works from home on the bank laptop. The home Synology appears in Explorer or Finder under the network section, or is already mapped as drive</w:t>
      </w:r>
      <w:r>
        <w:t xml:space="preserve"> </w:t>
      </w:r>
      <w:r>
        <w:rPr>
          <w:rStyle w:val="VerbatimChar"/>
        </w:rPr>
        <w:t xml:space="preserve">Z:</w:t>
      </w:r>
      <w:r>
        <w:t xml:space="preserve">. The employee drags a Tier 3 file into</w:t>
      </w:r>
      <w:r>
        <w:t xml:space="preserve"> </w:t>
      </w:r>
      <w:r>
        <w:rPr>
          <w:rStyle w:val="VerbatimChar"/>
        </w:rPr>
        <w:t xml:space="preserve">\\DiskStation\home</w:t>
      </w:r>
      <w:r>
        <w:t xml:space="preserve"> </w:t>
      </w:r>
      <w:r>
        <w:t xml:space="preserve">to "work on it later" or to keep a personal copy.</w:t>
      </w:r>
    </w:p>
    <w:p>
      <w:pPr>
        <w:numPr>
          <w:ilvl w:val="0"/>
          <w:numId w:val="1004"/>
        </w:numPr>
        <w:pStyle w:val="Compact"/>
      </w:pPr>
      <w:r>
        <w:rPr>
          <w:bCs/>
          <w:b/>
        </w:rPr>
        <w:t xml:space="preserve">Expected result.</w:t>
      </w:r>
      <w:r>
        <w:t xml:space="preserve"> </w:t>
      </w:r>
      <w:r>
        <w:t xml:space="preserve">The copy is blocked. The user sees a DLP notification. An alert is raised. For a Tier 2 file the user can override with a justification; the override is alerted.</w:t>
      </w:r>
    </w:p>
    <w:p>
      <w:pPr>
        <w:numPr>
          <w:ilvl w:val="0"/>
          <w:numId w:val="1004"/>
        </w:numPr>
        <w:pStyle w:val="Compact"/>
      </w:pPr>
      <w:r>
        <w:rPr>
          <w:bCs/>
          <w:b/>
        </w:rPr>
        <w:t xml:space="preserve">Purview control.</w:t>
      </w:r>
      <w:r>
        <w:t xml:space="preserve"> </w:t>
      </w:r>
      <w:r>
        <w:t xml:space="preserve">DLP policy, Devices location, condition "Content contains → Sensitivity label ∈ Tier 3". Action "Audit or restrict activities on devices → File activities for all apps → Copy to a network share = Block". The corporate file server group (4.3), if any, is assigned action Allow in the same rule.</w:t>
      </w:r>
    </w:p>
    <w:p>
      <w:pPr>
        <w:numPr>
          <w:ilvl w:val="0"/>
          <w:numId w:val="1004"/>
        </w:numPr>
        <w:pStyle w:val="Compact"/>
      </w:pPr>
      <w:r>
        <w:rPr>
          <w:bCs/>
          <w:b/>
        </w:rPr>
        <w:t xml:space="preserve">Platform.</w:t>
      </w:r>
      <w:r>
        <w:t xml:space="preserve"> </w:t>
      </w:r>
      <w:r>
        <w:t xml:space="preserve">Windows and macOS. Requires a currently supported Windows build and Defender platform; the specific KB minimums in Microsoft Learn date from 2022 and 2023 and are long superseded. On macOS a NAS mounted via Finder (</w:t>
      </w:r>
      <w:r>
        <w:rPr>
          <w:rStyle w:val="VerbatimChar"/>
        </w:rPr>
        <w:t xml:space="preserve">smb://diskstation/home</w:t>
      </w:r>
      <w:r>
        <w:t xml:space="preserve">) is expected to be treated as a network share. That is consistent with Microsoft's documentation but not stated explicitly, so T01 must prove it.</w:t>
      </w:r>
    </w:p>
    <w:p>
      <w:pPr>
        <w:numPr>
          <w:ilvl w:val="0"/>
          <w:numId w:val="1004"/>
        </w:numPr>
        <w:pStyle w:val="Compact"/>
      </w:pPr>
      <w:r>
        <w:rPr>
          <w:bCs/>
          <w:b/>
        </w:rPr>
        <w:t xml:space="preserve">Test.</w:t>
      </w:r>
      <w:r>
        <w:t xml:space="preserve"> </w:t>
      </w:r>
      <w:r>
        <w:t xml:space="preserve">On a pilot device connected to a lab "home" network with a consumer NAS: create</w:t>
      </w:r>
      <w:r>
        <w:t xml:space="preserve"> </w:t>
      </w:r>
      <w:r>
        <w:rPr>
          <w:rStyle w:val="VerbatimChar"/>
        </w:rPr>
        <w:t xml:space="preserve">test-tier3.docx</w:t>
      </w:r>
      <w:r>
        <w:t xml:space="preserve">, apply the Tier 3 label, save locally. Copy to the NAS via Explorer/Finder, via Save As in Word, via a mapped drive letter, and via</w:t>
      </w:r>
      <w:r>
        <w:t xml:space="preserve"> </w:t>
      </w:r>
      <w:r>
        <w:rPr>
          <w:rStyle w:val="VerbatimChar"/>
        </w:rPr>
        <w:t xml:space="preserve">copy</w:t>
      </w:r>
      <w:r>
        <w:t xml:space="preserve">/</w:t>
      </w:r>
      <w:r>
        <w:rPr>
          <w:rStyle w:val="VerbatimChar"/>
        </w:rPr>
        <w:t xml:space="preserve">cp</w:t>
      </w:r>
      <w:r>
        <w:t xml:space="preserve"> </w:t>
      </w:r>
      <w:r>
        <w:t xml:space="preserve">on the command line. All must fail. Repeat with Tier 2 (expect override prompt). If a corporate file server exists, repeat to it over VPN (expect success, no alert).</w:t>
      </w:r>
    </w:p>
    <w:p>
      <w:pPr>
        <w:numPr>
          <w:ilvl w:val="0"/>
          <w:numId w:val="1004"/>
        </w:numPr>
        <w:pStyle w:val="Compact"/>
      </w:pPr>
      <w:r>
        <w:rPr>
          <w:bCs/>
          <w:b/>
        </w:rPr>
        <w:t xml:space="preserve">Not covered.</w:t>
      </w:r>
      <w:r>
        <w:t xml:space="preserve"> </w:t>
      </w:r>
      <w:r>
        <w:t xml:space="preserve">Files already stored on the NAS. Files whose label is from another tenant (not detected). Paths that reach the NAS without touching SMB from the bank device (Annex A, RT-01, RT-04, RT-09). Confidence:</w:t>
      </w:r>
      <w:r>
        <w:t xml:space="preserve"> </w:t>
      </w:r>
      <w:r>
        <w:rPr>
          <w:bCs/>
          <w:b/>
        </w:rPr>
        <w:t xml:space="preserve">High</w:t>
      </w:r>
      <w:r>
        <w:t xml:space="preserve"> </w:t>
      </w:r>
      <w:r>
        <w:t xml:space="preserve">on Windows,</w:t>
      </w:r>
      <w:r>
        <w:t xml:space="preserve"> </w:t>
      </w:r>
      <w:r>
        <w:rPr>
          <w:bCs/>
          <w:b/>
        </w:rPr>
        <w:t xml:space="preserve">Medium</w:t>
      </w:r>
      <w:r>
        <w:t xml:space="preserve"> </w:t>
      </w:r>
      <w:r>
        <w:t xml:space="preserve">on macOS until T01 passes.</w:t>
      </w:r>
    </w:p>
    <w:bookmarkEnd w:id="33"/>
    <w:bookmarkStart w:id="34" w:name="Xc390c299820571cb6139f521281750812726c3a"/>
    <w:p>
      <w:pPr>
        <w:pStyle w:val="Heading3"/>
      </w:pPr>
      <w:r>
        <w:t xml:space="preserve">UC-02 Copy a labeled file to a corporate file server (sanctioned share)</w:t>
      </w:r>
    </w:p>
    <w:p>
      <w:pPr>
        <w:numPr>
          <w:ilvl w:val="0"/>
          <w:numId w:val="1005"/>
        </w:numPr>
        <w:pStyle w:val="Compact"/>
      </w:pPr>
      <w:r>
        <w:rPr>
          <w:bCs/>
          <w:b/>
        </w:rPr>
        <w:t xml:space="preserve">Story.</w:t>
      </w:r>
      <w:r>
        <w:t xml:space="preserve"> </w:t>
      </w:r>
      <w:r>
        <w:t xml:space="preserve">The same employee, connected over VPN, saves the same Tier 3 file to</w:t>
      </w:r>
      <w:r>
        <w:t xml:space="preserve"> </w:t>
      </w:r>
      <w:r>
        <w:rPr>
          <w:rStyle w:val="VerbatimChar"/>
        </w:rPr>
        <w:t xml:space="preserve">\\[TBD corporate file server]\team</w:t>
      </w:r>
      <w:r>
        <w:t xml:space="preserve">.</w:t>
      </w:r>
    </w:p>
    <w:p>
      <w:pPr>
        <w:numPr>
          <w:ilvl w:val="0"/>
          <w:numId w:val="1005"/>
        </w:numPr>
        <w:pStyle w:val="Compact"/>
      </w:pPr>
      <w:r>
        <w:rPr>
          <w:bCs/>
          <w:b/>
        </w:rPr>
        <w:t xml:space="preserve">Expected result.</w:t>
      </w:r>
      <w:r>
        <w:t xml:space="preserve"> </w:t>
      </w:r>
      <w:r>
        <w:t xml:space="preserve">The copy succeeds silently. An audit event is logged. No alert.</w:t>
      </w:r>
    </w:p>
    <w:p>
      <w:pPr>
        <w:numPr>
          <w:ilvl w:val="0"/>
          <w:numId w:val="1005"/>
        </w:numPr>
        <w:pStyle w:val="Compact"/>
      </w:pPr>
      <w:r>
        <w:rPr>
          <w:bCs/>
          <w:b/>
        </w:rPr>
        <w:t xml:space="preserve">Purview control.</w:t>
      </w:r>
      <w:r>
        <w:t xml:space="preserve"> </w:t>
      </w:r>
      <w:r>
        <w:t xml:space="preserve">Network share group "Corporate file servers" assigned action</w:t>
      </w:r>
      <w:r>
        <w:t xml:space="preserve"> </w:t>
      </w:r>
      <w:r>
        <w:rPr>
          <w:bCs/>
          <w:b/>
        </w:rPr>
        <w:t xml:space="preserve">Allow</w:t>
      </w:r>
      <w:r>
        <w:t xml:space="preserve"> </w:t>
      </w:r>
      <w:r>
        <w:t xml:space="preserve">inside the UC-01 rule. If the bank has no such servers, this use case is dropped and the group stays empty.</w:t>
      </w:r>
    </w:p>
    <w:p>
      <w:pPr>
        <w:numPr>
          <w:ilvl w:val="0"/>
          <w:numId w:val="1005"/>
        </w:numPr>
        <w:pStyle w:val="Compact"/>
      </w:pPr>
      <w:r>
        <w:rPr>
          <w:bCs/>
          <w:b/>
        </w:rPr>
        <w:t xml:space="preserve">Platform.</w:t>
      </w:r>
      <w:r>
        <w:t xml:space="preserve"> </w:t>
      </w:r>
      <w:r>
        <w:t xml:space="preserve">Windows and macOS.</w:t>
      </w:r>
    </w:p>
    <w:p>
      <w:pPr>
        <w:numPr>
          <w:ilvl w:val="0"/>
          <w:numId w:val="1005"/>
        </w:numPr>
        <w:pStyle w:val="Compact"/>
      </w:pPr>
      <w:r>
        <w:rPr>
          <w:bCs/>
          <w:b/>
        </w:rPr>
        <w:t xml:space="preserve">Test.</w:t>
      </w:r>
      <w:r>
        <w:t xml:space="preserve"> </w:t>
      </w:r>
      <w:r>
        <w:t xml:space="preserve">As in UC-01, final step. Also test a mapped drive letter pointing at the server, using the FQDN form only.</w:t>
      </w:r>
    </w:p>
    <w:p>
      <w:pPr>
        <w:numPr>
          <w:ilvl w:val="0"/>
          <w:numId w:val="1005"/>
        </w:numPr>
        <w:pStyle w:val="Compact"/>
      </w:pPr>
      <w:r>
        <w:rPr>
          <w:bCs/>
          <w:b/>
        </w:rPr>
        <w:t xml:space="preserve">Not covered.</w:t>
      </w:r>
      <w:r>
        <w:t xml:space="preserve"> </w:t>
      </w:r>
      <w:r>
        <w:t xml:space="preserve">A corporate share whose UNC prefix form is not in the group (for example reached by IP when only the FQDN is listed) will be blocked. Users who connect by short name or IP are blocked; that is intended (RT-07). Confidence:</w:t>
      </w:r>
      <w:r>
        <w:t xml:space="preserve"> </w:t>
      </w:r>
      <w:r>
        <w:rPr>
          <w:bCs/>
          <w:b/>
        </w:rPr>
        <w:t xml:space="preserve">High</w:t>
      </w:r>
      <w:r>
        <w:t xml:space="preserve">.</w:t>
      </w:r>
    </w:p>
    <w:bookmarkEnd w:id="34"/>
    <w:bookmarkStart w:id="35" w:name="X9545ea0274794536d2491685d5822ed68d0820d"/>
    <w:p>
      <w:pPr>
        <w:pStyle w:val="Heading3"/>
      </w:pPr>
      <w:r>
        <w:t xml:space="preserve">UC-03 Upload a labeled file through the home NAS web interface</w:t>
      </w:r>
    </w:p>
    <w:p>
      <w:pPr>
        <w:numPr>
          <w:ilvl w:val="0"/>
          <w:numId w:val="1006"/>
        </w:numPr>
        <w:pStyle w:val="Compact"/>
      </w:pPr>
      <w:r>
        <w:rPr>
          <w:bCs/>
          <w:b/>
        </w:rPr>
        <w:t xml:space="preserve">Story.</w:t>
      </w:r>
      <w:r>
        <w:t xml:space="preserve"> </w:t>
      </w:r>
      <w:r>
        <w:t xml:space="preserve">The employee opens</w:t>
      </w:r>
      <w:r>
        <w:t xml:space="preserve"> </w:t>
      </w:r>
      <w:r>
        <w:rPr>
          <w:rStyle w:val="VerbatimChar"/>
        </w:rPr>
        <w:t xml:space="preserve">http://192.168.178.20:5000</w:t>
      </w:r>
      <w:r>
        <w:t xml:space="preserve"> </w:t>
      </w:r>
      <w:r>
        <w:t xml:space="preserve">(Synology DSM) or</w:t>
      </w:r>
      <w:r>
        <w:t xml:space="preserve"> </w:t>
      </w:r>
      <w:r>
        <w:rPr>
          <w:rStyle w:val="VerbatimChar"/>
        </w:rPr>
        <w:t xml:space="preserve">http://qnap.local:8080</w:t>
      </w:r>
      <w:r>
        <w:t xml:space="preserve"> </w:t>
      </w:r>
      <w:r>
        <w:t xml:space="preserve">(QNAP QTS) in the browser, opens File Station, and uploads a Tier 3 file. A variant: the employee opens the vendor relay portal</w:t>
      </w:r>
      <w:r>
        <w:t xml:space="preserve"> </w:t>
      </w:r>
      <w:r>
        <w:rPr>
          <w:rStyle w:val="VerbatimChar"/>
        </w:rPr>
        <w:t xml:space="preserve">https://&lt;id&gt;.quickconnect.to</w:t>
      </w:r>
      <w:r>
        <w:t xml:space="preserve"> </w:t>
      </w:r>
      <w:r>
        <w:t xml:space="preserve">from the bank laptop while traveling and uploads the same file.</w:t>
      </w:r>
    </w:p>
    <w:p>
      <w:pPr>
        <w:numPr>
          <w:ilvl w:val="0"/>
          <w:numId w:val="1006"/>
        </w:numPr>
        <w:pStyle w:val="Compact"/>
      </w:pPr>
      <w:r>
        <w:rPr>
          <w:bCs/>
          <w:b/>
        </w:rPr>
        <w:t xml:space="preserve">Expected result.</w:t>
      </w:r>
      <w:r>
        <w:t xml:space="preserve"> </w:t>
      </w:r>
      <w:r>
        <w:t xml:space="preserve">The upload is blocked in the browser. The user sees a DLP notification. Both the LAN address and the relay portal are blocked, because neither is on the allow list.</w:t>
      </w:r>
    </w:p>
    <w:p>
      <w:pPr>
        <w:numPr>
          <w:ilvl w:val="0"/>
          <w:numId w:val="1006"/>
        </w:numPr>
        <w:pStyle w:val="Compact"/>
      </w:pPr>
      <w:r>
        <w:rPr>
          <w:bCs/>
          <w:b/>
        </w:rPr>
        <w:t xml:space="preserve">Purview control.</w:t>
      </w:r>
      <w:r>
        <w:t xml:space="preserve"> </w:t>
      </w:r>
      <w:r>
        <w:t xml:space="preserve">Endpoint setting</w:t>
      </w:r>
      <w:r>
        <w:t xml:space="preserve"> </w:t>
      </w:r>
      <w:r>
        <w:rPr>
          <w:bCs/>
          <w:b/>
        </w:rPr>
        <w:t xml:space="preserve">Service domains = Allow</w:t>
      </w:r>
      <w:r>
        <w:t xml:space="preserve"> </w:t>
      </w:r>
      <w:r>
        <w:t xml:space="preserve">with the Microsoft 365 domains from 4.2. Policy action "Service domain and browser activities → Upload to a restricted cloud service domain or access from an unallowed browser = Block". Because neither the private IP nor the relay hostname is on the Allow list, both are restricted by default. The "Private network storage" and "NAS relay services" groups (4.5) are assigned Block explicitly so that these events are distinguishable in alerts.</w:t>
      </w:r>
    </w:p>
    <w:p>
      <w:pPr>
        <w:numPr>
          <w:ilvl w:val="0"/>
          <w:numId w:val="1006"/>
        </w:numPr>
        <w:pStyle w:val="Compact"/>
      </w:pPr>
      <w:r>
        <w:rPr>
          <w:bCs/>
          <w:b/>
        </w:rPr>
        <w:t xml:space="preserve">Platform.</w:t>
      </w:r>
      <w:r>
        <w:t xml:space="preserve"> </w:t>
      </w:r>
      <w:r>
        <w:t xml:space="preserve">Windows and macOS, supported browsers only (4.6). The explicit IP-range group matches on Windows only; on macOS the Allow-mode default still restricts the destination, but the event is attributed to "unlisted domain" rather than to the named group.</w:t>
      </w:r>
    </w:p>
    <w:p>
      <w:pPr>
        <w:numPr>
          <w:ilvl w:val="0"/>
          <w:numId w:val="1006"/>
        </w:numPr>
        <w:pStyle w:val="Compact"/>
      </w:pPr>
      <w:r>
        <w:rPr>
          <w:bCs/>
          <w:b/>
        </w:rPr>
        <w:t xml:space="preserve">Test.</w:t>
      </w:r>
      <w:r>
        <w:t xml:space="preserve"> </w:t>
      </w:r>
      <w:r>
        <w:t xml:space="preserve">Upload via the web UI's file picker and via drag-and-drop, by IP and by</w:t>
      </w:r>
      <w:r>
        <w:t xml:space="preserve"> </w:t>
      </w:r>
      <w:r>
        <w:rPr>
          <w:rStyle w:val="VerbatimChar"/>
        </w:rPr>
        <w:t xml:space="preserve">.local</w:t>
      </w:r>
      <w:r>
        <w:t xml:space="preserve"> </w:t>
      </w:r>
      <w:r>
        <w:t xml:space="preserve">hostname, in Edge and in Chrome with the extension on Windows, in Edge and Safari on macOS. Repeat against the relay portal. Repeat against a sanctioned internal web app if one exists (expect success).</w:t>
      </w:r>
    </w:p>
    <w:p>
      <w:pPr>
        <w:numPr>
          <w:ilvl w:val="0"/>
          <w:numId w:val="1006"/>
        </w:numPr>
        <w:pStyle w:val="Compact"/>
      </w:pPr>
      <w:r>
        <w:rPr>
          <w:bCs/>
          <w:b/>
        </w:rPr>
        <w:t xml:space="preserve">Not covered.</w:t>
      </w:r>
      <w:r>
        <w:t xml:space="preserve"> </w:t>
      </w:r>
      <w:r>
        <w:t xml:space="preserve">Web UIs opened in an unsupported browser (see UC-05). Confidence:</w:t>
      </w:r>
      <w:r>
        <w:t xml:space="preserve"> </w:t>
      </w:r>
      <w:r>
        <w:rPr>
          <w:bCs/>
          <w:b/>
        </w:rPr>
        <w:t xml:space="preserve">High</w:t>
      </w:r>
      <w:r>
        <w:t xml:space="preserve"> </w:t>
      </w:r>
      <w:r>
        <w:t xml:space="preserve">for Windows,</w:t>
      </w:r>
      <w:r>
        <w:t xml:space="preserve"> </w:t>
      </w:r>
      <w:r>
        <w:rPr>
          <w:bCs/>
          <w:b/>
        </w:rPr>
        <w:t xml:space="preserve">Medium</w:t>
      </w:r>
      <w:r>
        <w:t xml:space="preserve"> </w:t>
      </w:r>
      <w:r>
        <w:t xml:space="preserve">for macOS attribution.</w:t>
      </w:r>
    </w:p>
    <w:bookmarkEnd w:id="35"/>
    <w:bookmarkStart w:id="36" w:name="X8fd0b3039f9d61dc6f59b612a36ac9b3eb8b209"/>
    <w:p>
      <w:pPr>
        <w:pStyle w:val="Heading3"/>
      </w:pPr>
      <w:r>
        <w:t xml:space="preserve">UC-04 Upload a labeled file to unsanctioned cloud storage in a browser</w:t>
      </w:r>
    </w:p>
    <w:p>
      <w:pPr>
        <w:numPr>
          <w:ilvl w:val="0"/>
          <w:numId w:val="1007"/>
        </w:numPr>
        <w:pStyle w:val="Compact"/>
      </w:pPr>
      <w:r>
        <w:rPr>
          <w:bCs/>
          <w:b/>
        </w:rPr>
        <w:t xml:space="preserve">Story.</w:t>
      </w:r>
      <w:r>
        <w:t xml:space="preserve"> </w:t>
      </w:r>
      <w:r>
        <w:t xml:space="preserve">A user drags a Tier 2 file into</w:t>
      </w:r>
      <w:r>
        <w:t xml:space="preserve"> </w:t>
      </w:r>
      <w:r>
        <w:rPr>
          <w:rStyle w:val="VerbatimChar"/>
        </w:rPr>
        <w:t xml:space="preserve">drive.google.com</w:t>
      </w:r>
      <w:r>
        <w:t xml:space="preserve">,</w:t>
      </w:r>
      <w:r>
        <w:t xml:space="preserve"> </w:t>
      </w:r>
      <w:r>
        <w:rPr>
          <w:rStyle w:val="VerbatimChar"/>
        </w:rPr>
        <w:t xml:space="preserve">dropbox.com</w:t>
      </w:r>
      <w:r>
        <w:t xml:space="preserve">,</w:t>
      </w:r>
      <w:r>
        <w:t xml:space="preserve"> </w:t>
      </w:r>
      <w:r>
        <w:rPr>
          <w:rStyle w:val="VerbatimChar"/>
        </w:rPr>
        <w:t xml:space="preserve">wetransfer.com</w:t>
      </w:r>
      <w:r>
        <w:t xml:space="preserve">, or any file-sharing website.</w:t>
      </w:r>
    </w:p>
    <w:p>
      <w:pPr>
        <w:numPr>
          <w:ilvl w:val="0"/>
          <w:numId w:val="1007"/>
        </w:numPr>
        <w:pStyle w:val="Compact"/>
      </w:pPr>
      <w:r>
        <w:rPr>
          <w:bCs/>
          <w:b/>
        </w:rPr>
        <w:t xml:space="preserve">Expected result.</w:t>
      </w:r>
      <w:r>
        <w:t xml:space="preserve"> </w:t>
      </w:r>
      <w:r>
        <w:t xml:space="preserve">Tier 3: blocked. Tier 2: blocked with override and justification. Upload to</w:t>
      </w:r>
      <w:r>
        <w:t xml:space="preserve"> </w:t>
      </w:r>
      <w:r>
        <w:rPr>
          <w:rStyle w:val="VerbatimChar"/>
        </w:rPr>
        <w:t xml:space="preserve">[tenant].sharepoint.com</w:t>
      </w:r>
      <w:r>
        <w:t xml:space="preserve"> </w:t>
      </w:r>
      <w:r>
        <w:t xml:space="preserve">succeeds.</w:t>
      </w:r>
    </w:p>
    <w:p>
      <w:pPr>
        <w:numPr>
          <w:ilvl w:val="0"/>
          <w:numId w:val="1007"/>
        </w:numPr>
        <w:pStyle w:val="Compact"/>
      </w:pPr>
      <w:r>
        <w:rPr>
          <w:bCs/>
          <w:b/>
        </w:rPr>
        <w:t xml:space="preserve">Purview control.</w:t>
      </w:r>
      <w:r>
        <w:t xml:space="preserve"> </w:t>
      </w:r>
      <w:r>
        <w:t xml:space="preserve">Same as UC-03. The Allow-mode Service domains list is the single source of truth for sanctioned cloud storage.</w:t>
      </w:r>
    </w:p>
    <w:p>
      <w:pPr>
        <w:numPr>
          <w:ilvl w:val="0"/>
          <w:numId w:val="1007"/>
        </w:numPr>
        <w:pStyle w:val="Compact"/>
      </w:pPr>
      <w:r>
        <w:rPr>
          <w:bCs/>
          <w:b/>
        </w:rPr>
        <w:t xml:space="preserve">Platform.</w:t>
      </w:r>
      <w:r>
        <w:t xml:space="preserve"> </w:t>
      </w:r>
      <w:r>
        <w:t xml:space="preserve">Windows and macOS, supported browsers only.</w:t>
      </w:r>
    </w:p>
    <w:p>
      <w:pPr>
        <w:numPr>
          <w:ilvl w:val="0"/>
          <w:numId w:val="1007"/>
        </w:numPr>
        <w:pStyle w:val="Compact"/>
      </w:pPr>
      <w:r>
        <w:rPr>
          <w:bCs/>
          <w:b/>
        </w:rPr>
        <w:t xml:space="preserve">Test.</w:t>
      </w:r>
      <w:r>
        <w:t xml:space="preserve"> </w:t>
      </w:r>
      <w:r>
        <w:t xml:space="preserve">Attempt uploads to three unsanctioned sites and to SharePoint and Outlook on the web. Confirm Outlook attachment of a Tier 3 file is allowed by this rule (mail content is then governed by Exchange DLP). That Exchange DLP policy does not exist in this plan; see RT-01.</w:t>
      </w:r>
    </w:p>
    <w:p>
      <w:pPr>
        <w:numPr>
          <w:ilvl w:val="0"/>
          <w:numId w:val="1007"/>
        </w:numPr>
        <w:pStyle w:val="Compact"/>
      </w:pPr>
      <w:r>
        <w:rPr>
          <w:bCs/>
          <w:b/>
        </w:rPr>
        <w:t xml:space="preserve">Not covered.</w:t>
      </w:r>
      <w:r>
        <w:t xml:space="preserve"> </w:t>
      </w:r>
      <w:r>
        <w:t xml:space="preserve">Uploads from unsupported browsers (see UC-05). Sync clients on the restricted app list are handled by UC-06. Any other non-browser upload, such as scripting tools, command-line HTTP clients, or third-party transfer utilities, is not governed by the upload control at all (Annex A, RT-03). Uploads to another organization's Microsoft 365 tenant pass as sanctioned unless RT-02 is fixed. Confidence:</w:t>
      </w:r>
      <w:r>
        <w:t xml:space="preserve"> </w:t>
      </w:r>
      <w:r>
        <w:rPr>
          <w:bCs/>
          <w:b/>
        </w:rPr>
        <w:t xml:space="preserve">High</w:t>
      </w:r>
      <w:r>
        <w:t xml:space="preserve">, for browser uploads only.</w:t>
      </w:r>
    </w:p>
    <w:bookmarkEnd w:id="36"/>
    <w:bookmarkStart w:id="37" w:name="Xa2c9b1196c6adea3633104ba7b75cb1460f107f"/>
    <w:p>
      <w:pPr>
        <w:pStyle w:val="Heading3"/>
      </w:pPr>
      <w:r>
        <w:t xml:space="preserve">UC-05 Open or upload a labeled file from an unallowed browser</w:t>
      </w:r>
    </w:p>
    <w:p>
      <w:pPr>
        <w:numPr>
          <w:ilvl w:val="0"/>
          <w:numId w:val="1008"/>
        </w:numPr>
        <w:pStyle w:val="Compact"/>
      </w:pPr>
      <w:r>
        <w:rPr>
          <w:bCs/>
          <w:b/>
        </w:rPr>
        <w:t xml:space="preserve">Story.</w:t>
      </w:r>
      <w:r>
        <w:t xml:space="preserve"> </w:t>
      </w:r>
      <w:r>
        <w:t xml:space="preserve">A user installs Brave and tries to upload a Tier 3 file to any website.</w:t>
      </w:r>
    </w:p>
    <w:p>
      <w:pPr>
        <w:numPr>
          <w:ilvl w:val="0"/>
          <w:numId w:val="1008"/>
        </w:numPr>
        <w:pStyle w:val="Compact"/>
      </w:pPr>
      <w:r>
        <w:rPr>
          <w:bCs/>
          <w:b/>
        </w:rPr>
        <w:t xml:space="preserve">Expected result.</w:t>
      </w:r>
      <w:r>
        <w:t xml:space="preserve"> </w:t>
      </w:r>
      <w:r>
        <w:t xml:space="preserve">Brave is blocked from accessing the file. A toast tells the user to use Microsoft Edge.</w:t>
      </w:r>
    </w:p>
    <w:p>
      <w:pPr>
        <w:numPr>
          <w:ilvl w:val="0"/>
          <w:numId w:val="1008"/>
        </w:numPr>
        <w:pStyle w:val="Compact"/>
      </w:pPr>
      <w:r>
        <w:rPr>
          <w:bCs/>
          <w:b/>
        </w:rPr>
        <w:t xml:space="preserve">Purview control.</w:t>
      </w:r>
      <w:r>
        <w:t xml:space="preserve"> </w:t>
      </w:r>
      <w:r>
        <w:t xml:space="preserve">Endpoint setting</w:t>
      </w:r>
      <w:r>
        <w:t xml:space="preserve"> </w:t>
      </w:r>
      <w:r>
        <w:rPr>
          <w:bCs/>
          <w:b/>
        </w:rPr>
        <w:t xml:space="preserve">Unallowed browsers</w:t>
      </w:r>
      <w:r>
        <w:t xml:space="preserve"> </w:t>
      </w:r>
      <w:r>
        <w:t xml:space="preserve">(executable names on Windows, full paths on macOS). Takes effect when the upload action in the policy is Block or Block with override.</w:t>
      </w:r>
    </w:p>
    <w:p>
      <w:pPr>
        <w:numPr>
          <w:ilvl w:val="0"/>
          <w:numId w:val="1008"/>
        </w:numPr>
        <w:pStyle w:val="Compact"/>
      </w:pPr>
      <w:r>
        <w:rPr>
          <w:bCs/>
          <w:b/>
        </w:rPr>
        <w:t xml:space="preserve">Platform.</w:t>
      </w:r>
      <w:r>
        <w:t xml:space="preserve"> </w:t>
      </w:r>
      <w:r>
        <w:t xml:space="preserve">Windows and macOS.</w:t>
      </w:r>
    </w:p>
    <w:p>
      <w:pPr>
        <w:numPr>
          <w:ilvl w:val="0"/>
          <w:numId w:val="1008"/>
        </w:numPr>
        <w:pStyle w:val="Compact"/>
      </w:pPr>
      <w:r>
        <w:rPr>
          <w:bCs/>
          <w:b/>
        </w:rPr>
        <w:t xml:space="preserve">Test.</w:t>
      </w:r>
      <w:r>
        <w:t xml:space="preserve"> </w:t>
      </w:r>
      <w:r>
        <w:t xml:space="preserve">Install one unallowed browser on a pilot device and attempt the upload.</w:t>
      </w:r>
    </w:p>
    <w:p>
      <w:pPr>
        <w:numPr>
          <w:ilvl w:val="0"/>
          <w:numId w:val="1008"/>
        </w:numPr>
        <w:pStyle w:val="Compact"/>
      </w:pPr>
      <w:r>
        <w:rPr>
          <w:bCs/>
          <w:b/>
        </w:rPr>
        <w:t xml:space="preserve">Not covered.</w:t>
      </w:r>
      <w:r>
        <w:t xml:space="preserve"> </w:t>
      </w:r>
      <w:r>
        <w:t xml:space="preserve">A browser not on the list and without the extension, including a listed browser whose executable was renamed (RT-11). Mitigation: use Intune or AppLocker to restrict browser installation, and review Defender for Endpoint software inventory monthly for new browsers. Confidence:</w:t>
      </w:r>
      <w:r>
        <w:t xml:space="preserve"> </w:t>
      </w:r>
      <w:r>
        <w:rPr>
          <w:bCs/>
          <w:b/>
        </w:rPr>
        <w:t xml:space="preserve">High</w:t>
      </w:r>
      <w:r>
        <w:t xml:space="preserve">.</w:t>
      </w:r>
    </w:p>
    <w:bookmarkEnd w:id="37"/>
    <w:bookmarkStart w:id="38" w:name="Xca0daa37e697b0167dd49924e97f97041ce517a"/>
    <w:p>
      <w:pPr>
        <w:pStyle w:val="Heading3"/>
      </w:pPr>
      <w:r>
        <w:t xml:space="preserve">UC-06 Sync a labeled file through a desktop cloud or home NAS sync client</w:t>
      </w:r>
    </w:p>
    <w:p>
      <w:pPr>
        <w:numPr>
          <w:ilvl w:val="0"/>
          <w:numId w:val="1009"/>
        </w:numPr>
        <w:pStyle w:val="Compact"/>
      </w:pPr>
      <w:r>
        <w:rPr>
          <w:bCs/>
          <w:b/>
        </w:rPr>
        <w:t xml:space="preserve">Story.</w:t>
      </w:r>
      <w:r>
        <w:t xml:space="preserve"> </w:t>
      </w:r>
      <w:r>
        <w:t xml:space="preserve">An employee has installed Synology Drive Client or QNAP Qsync on the bank laptop to mirror a folder to the home NAS, or drops a Tier 3 file into a personal Dropbox folder. No browser is involved, and the sync happens in the background.</w:t>
      </w:r>
    </w:p>
    <w:p>
      <w:pPr>
        <w:numPr>
          <w:ilvl w:val="0"/>
          <w:numId w:val="1009"/>
        </w:numPr>
        <w:pStyle w:val="Compact"/>
      </w:pPr>
      <w:r>
        <w:rPr>
          <w:bCs/>
          <w:b/>
        </w:rPr>
        <w:t xml:space="preserve">Expected result.</w:t>
      </w:r>
      <w:r>
        <w:t xml:space="preserve"> </w:t>
      </w:r>
      <w:r>
        <w:t xml:space="preserve">The sync client is denied access to the file. The file is moved to a quarantine folder and replaced with a</w:t>
      </w:r>
      <w:r>
        <w:t xml:space="preserve"> </w:t>
      </w:r>
      <w:r>
        <w:rPr>
          <w:rStyle w:val="VerbatimChar"/>
        </w:rPr>
        <w:t xml:space="preserve">.txt</w:t>
      </w:r>
      <w:r>
        <w:t xml:space="preserve"> </w:t>
      </w:r>
      <w:r>
        <w:t xml:space="preserve">placeholder explaining what happened. One notification, not a loop.</w:t>
      </w:r>
    </w:p>
    <w:p>
      <w:pPr>
        <w:numPr>
          <w:ilvl w:val="0"/>
          <w:numId w:val="1009"/>
        </w:numPr>
        <w:pStyle w:val="Compact"/>
      </w:pPr>
      <w:r>
        <w:rPr>
          <w:bCs/>
          <w:b/>
        </w:rPr>
        <w:t xml:space="preserve">Purview control.</w:t>
      </w:r>
      <w:r>
        <w:t xml:space="preserve"> </w:t>
      </w:r>
      <w:r>
        <w:t xml:space="preserve">Endpoint setting</w:t>
      </w:r>
      <w:r>
        <w:t xml:space="preserve"> </w:t>
      </w:r>
      <w:r>
        <w:rPr>
          <w:bCs/>
          <w:b/>
        </w:rPr>
        <w:t xml:space="preserve">Restricted apps and app groups</w:t>
      </w:r>
      <w:r>
        <w:t xml:space="preserve">: group "Unsanctioned sync clients" (4.5) with</w:t>
      </w:r>
      <w:r>
        <w:t xml:space="preserve"> </w:t>
      </w:r>
      <w:r>
        <w:rPr>
          <w:bCs/>
          <w:b/>
        </w:rPr>
        <w:t xml:space="preserve">Auto-quarantine</w:t>
      </w:r>
      <w:r>
        <w:t xml:space="preserve"> </w:t>
      </w:r>
      <w:r>
        <w:t xml:space="preserve">enabled. Policy action "File activities for apps in restricted app groups → Apply a restriction to all activity = Block".</w:t>
      </w:r>
    </w:p>
    <w:p>
      <w:pPr>
        <w:numPr>
          <w:ilvl w:val="0"/>
          <w:numId w:val="1009"/>
        </w:numPr>
        <w:pStyle w:val="Compact"/>
      </w:pPr>
      <w:r>
        <w:rPr>
          <w:bCs/>
          <w:b/>
        </w:rPr>
        <w:t xml:space="preserve">Platform.</w:t>
      </w:r>
      <w:r>
        <w:t xml:space="preserve"> </w:t>
      </w:r>
      <w:r>
        <w:t xml:space="preserve">Windows and macOS.</w:t>
      </w:r>
    </w:p>
    <w:p>
      <w:pPr>
        <w:numPr>
          <w:ilvl w:val="0"/>
          <w:numId w:val="1009"/>
        </w:numPr>
        <w:pStyle w:val="Compact"/>
      </w:pPr>
      <w:r>
        <w:rPr>
          <w:bCs/>
          <w:b/>
        </w:rPr>
        <w:t xml:space="preserve">Test.</w:t>
      </w:r>
      <w:r>
        <w:t xml:space="preserve"> </w:t>
      </w:r>
      <w:r>
        <w:t xml:space="preserve">Install one unsanctioned sync client on a pilot device. Copy a labeled file into its folder. Confirm the placeholder appears and the original is in the quarantine path. Confirm the sanctioned OneDrive client still syncs the same file to the apoBank tenant, and that it cannot be signed in to a personal or other-tenant account (OneDrive AllowTenantList and DisablePersonalSync; Annex A, RT-02).</w:t>
      </w:r>
    </w:p>
    <w:p>
      <w:pPr>
        <w:numPr>
          <w:ilvl w:val="0"/>
          <w:numId w:val="1009"/>
        </w:numPr>
        <w:pStyle w:val="Compact"/>
      </w:pPr>
      <w:r>
        <w:rPr>
          <w:bCs/>
          <w:b/>
        </w:rPr>
        <w:t xml:space="preserve">Not covered.</w:t>
      </w:r>
      <w:r>
        <w:t xml:space="preserve"> </w:t>
      </w:r>
      <w:r>
        <w:t xml:space="preserve">Sync clients not in the group. Mitigation: discovery in Phase 0 (Defender for Cloud Apps Cloud Discovery plus Defender for Endpoint software inventory), Intune application control so that employees cannot install sync clients at all, and consider the "block all apps except allowed" pattern later. Confidence:</w:t>
      </w:r>
      <w:r>
        <w:t xml:space="preserve"> </w:t>
      </w:r>
      <w:r>
        <w:rPr>
          <w:bCs/>
          <w:b/>
        </w:rPr>
        <w:t xml:space="preserve">High</w:t>
      </w:r>
      <w:r>
        <w:t xml:space="preserve">.</w:t>
      </w:r>
    </w:p>
    <w:bookmarkEnd w:id="38"/>
    <w:bookmarkStart w:id="39" w:name="X15671b4dcbd4acaa5a31351b27226a18a11188a"/>
    <w:p>
      <w:pPr>
        <w:pStyle w:val="Heading3"/>
      </w:pPr>
      <w:r>
        <w:t xml:space="preserve">UC-07 Copy content out of a labeled file to the clipboard</w:t>
      </w:r>
    </w:p>
    <w:p>
      <w:pPr>
        <w:numPr>
          <w:ilvl w:val="0"/>
          <w:numId w:val="1010"/>
        </w:numPr>
        <w:pStyle w:val="Compact"/>
      </w:pPr>
      <w:r>
        <w:rPr>
          <w:bCs/>
          <w:b/>
        </w:rPr>
        <w:t xml:space="preserve">Story.</w:t>
      </w:r>
      <w:r>
        <w:t xml:space="preserve"> </w:t>
      </w:r>
      <w:r>
        <w:t xml:space="preserve">A user opens a Tier 3 Word document, selects a table, and presses Ctrl+C intending to paste it into a personal email, Notepad, or a web form.</w:t>
      </w:r>
    </w:p>
    <w:p>
      <w:pPr>
        <w:numPr>
          <w:ilvl w:val="0"/>
          <w:numId w:val="1010"/>
        </w:numPr>
        <w:pStyle w:val="Compact"/>
      </w:pPr>
      <w:r>
        <w:rPr>
          <w:bCs/>
          <w:b/>
        </w:rPr>
        <w:t xml:space="preserve">Expected result.</w:t>
      </w:r>
      <w:r>
        <w:t xml:space="preserve"> </w:t>
      </w:r>
      <w:r>
        <w:t xml:space="preserve">The copy is blocked at the moment of copying. Pasting within the same document still works. Tier 2: block with override.</w:t>
      </w:r>
    </w:p>
    <w:p>
      <w:pPr>
        <w:numPr>
          <w:ilvl w:val="0"/>
          <w:numId w:val="1010"/>
        </w:numPr>
        <w:pStyle w:val="Compact"/>
      </w:pPr>
      <w:r>
        <w:rPr>
          <w:bCs/>
          <w:b/>
        </w:rPr>
        <w:t xml:space="preserve">Purview control.</w:t>
      </w:r>
      <w:r>
        <w:t xml:space="preserve"> </w:t>
      </w:r>
      <w:r>
        <w:t xml:space="preserve">Policy action "File activities for all apps → Copy to clipboard = Block".</w:t>
      </w:r>
    </w:p>
    <w:p>
      <w:pPr>
        <w:numPr>
          <w:ilvl w:val="0"/>
          <w:numId w:val="1010"/>
        </w:numPr>
        <w:pStyle w:val="Compact"/>
      </w:pPr>
      <w:r>
        <w:rPr>
          <w:bCs/>
          <w:b/>
        </w:rPr>
        <w:t xml:space="preserve">Platform.</w:t>
      </w:r>
      <w:r>
        <w:t xml:space="preserve"> </w:t>
      </w:r>
      <w:r>
        <w:t xml:space="preserve">Windows and macOS. Also applies to redirected clipboards in Azure Virtual Desktop / Windows 365.</w:t>
      </w:r>
    </w:p>
    <w:p>
      <w:pPr>
        <w:numPr>
          <w:ilvl w:val="0"/>
          <w:numId w:val="1010"/>
        </w:numPr>
        <w:pStyle w:val="Compact"/>
      </w:pPr>
      <w:r>
        <w:rPr>
          <w:bCs/>
          <w:b/>
        </w:rPr>
        <w:t xml:space="preserve">Test.</w:t>
      </w:r>
      <w:r>
        <w:t xml:space="preserve"> </w:t>
      </w:r>
      <w:r>
        <w:t xml:space="preserve">Copy within the same Word file (allowed). Copy from the Tier 3 file into a new Word file (blocked). Copy into Notepad (blocked). Copy from an unlabeled file while the Tier 3 file is open in the same app (expect blocked, see behavior note).</w:t>
      </w:r>
    </w:p>
    <w:p>
      <w:pPr>
        <w:numPr>
          <w:ilvl w:val="0"/>
          <w:numId w:val="1010"/>
        </w:numPr>
        <w:pStyle w:val="Compact"/>
      </w:pPr>
      <w:r>
        <w:rPr>
          <w:bCs/>
          <w:b/>
        </w:rPr>
        <w:t xml:space="preserve">Behavior notes and gaps.</w:t>
      </w:r>
      <w:r>
        <w:t xml:space="preserve"> </w:t>
      </w:r>
      <w:r>
        <w:t xml:space="preserve">Enforcement happens at copy time, not at paste time; Endpoint DLP cannot allow the copy and then block only certain paste destinations in desktop apps. While a blocked file is open, copying from any other file in the same application is also restricted. This will generate user friction for Tier 3; keep Tier 3 small. This control covers files on the device only. Tier 3 content opened in Office for the web is not a local file, and text copied there is governed only by the SIT-based paste control in UC-08, not by the label (Annex A, RT-05). Confidence:</w:t>
      </w:r>
      <w:r>
        <w:t xml:space="preserve"> </w:t>
      </w:r>
      <w:r>
        <w:rPr>
          <w:bCs/>
          <w:b/>
        </w:rPr>
        <w:t xml:space="preserve">High</w:t>
      </w:r>
      <w:r>
        <w:t xml:space="preserve">.</w:t>
      </w:r>
    </w:p>
    <w:bookmarkEnd w:id="39"/>
    <w:bookmarkStart w:id="40" w:name="Xab2f9dc81363ae80842e9ebbfbf91c898a98294"/>
    <w:p>
      <w:pPr>
        <w:pStyle w:val="Heading3"/>
      </w:pPr>
      <w:r>
        <w:t xml:space="preserve">UC-08 Paste sensitive text into an unsanctioned website</w:t>
      </w:r>
    </w:p>
    <w:p>
      <w:pPr>
        <w:numPr>
          <w:ilvl w:val="0"/>
          <w:numId w:val="1011"/>
        </w:numPr>
        <w:pStyle w:val="Compact"/>
      </w:pPr>
      <w:r>
        <w:rPr>
          <w:bCs/>
          <w:b/>
        </w:rPr>
        <w:t xml:space="preserve">Story.</w:t>
      </w:r>
      <w:r>
        <w:t xml:space="preserve"> </w:t>
      </w:r>
      <w:r>
        <w:t xml:space="preserve">A user has sensitive text on the clipboard (from any source, including a sanctioned web app or an unlabeled file) and pastes it into a webmail, a chat site, a public AI assistant, or a NAS web UI note field.</w:t>
      </w:r>
    </w:p>
    <w:p>
      <w:pPr>
        <w:numPr>
          <w:ilvl w:val="0"/>
          <w:numId w:val="1011"/>
        </w:numPr>
        <w:pStyle w:val="Compact"/>
      </w:pPr>
      <w:r>
        <w:rPr>
          <w:bCs/>
          <w:b/>
        </w:rPr>
        <w:t xml:space="preserve">Expected result.</w:t>
      </w:r>
      <w:r>
        <w:t xml:space="preserve"> </w:t>
      </w:r>
      <w:r>
        <w:t xml:space="preserve">The paste is blocked or warned, depending on the destination group. Paste into Microsoft 365 web apps is allowed.</w:t>
      </w:r>
    </w:p>
    <w:p>
      <w:pPr>
        <w:numPr>
          <w:ilvl w:val="0"/>
          <w:numId w:val="1011"/>
        </w:numPr>
        <w:pStyle w:val="Compact"/>
      </w:pPr>
      <w:r>
        <w:rPr>
          <w:bCs/>
          <w:b/>
        </w:rPr>
        <w:t xml:space="preserve">Purview control.</w:t>
      </w:r>
      <w:r>
        <w:t xml:space="preserve"> </w:t>
      </w:r>
      <w:r>
        <w:t xml:space="preserve">Policy action "Service domain and browser activities → Paste to supported browsers". Requires</w:t>
      </w:r>
      <w:r>
        <w:t xml:space="preserve"> </w:t>
      </w:r>
      <w:r>
        <w:rPr>
          <w:bCs/>
          <w:b/>
        </w:rPr>
        <w:t xml:space="preserve">sensitive service domain groups</w:t>
      </w:r>
      <w:r>
        <w:t xml:space="preserve">: group "Sanctioned M365 web apps" (Microsoft 365 domains) = Allow, group "NAS relay services" (URL match) = Block, the built-in "Generative AI websites" group = Block or Block with override, and a catch-all stance decided in design.</w:t>
      </w:r>
    </w:p>
    <w:p>
      <w:pPr>
        <w:numPr>
          <w:ilvl w:val="0"/>
          <w:numId w:val="1011"/>
        </w:numPr>
        <w:pStyle w:val="Compact"/>
      </w:pPr>
      <w:r>
        <w:rPr>
          <w:bCs/>
          <w:b/>
        </w:rPr>
        <w:t xml:space="preserve">Important limitation.</w:t>
      </w:r>
      <w:r>
        <w:t xml:space="preserve"> </w:t>
      </w:r>
      <w:r>
        <w:t xml:space="preserve">Paste to browser evaluates the clipboard content against</w:t>
      </w:r>
      <w:r>
        <w:t xml:space="preserve"> </w:t>
      </w:r>
      <w:r>
        <w:rPr>
          <w:bCs/>
          <w:b/>
        </w:rPr>
        <w:t xml:space="preserve">sensitive information types only, not sensitivity labels</w:t>
      </w:r>
      <w:r>
        <w:t xml:space="preserve">. It ignores text shorter than 30 characters, inspects only the first 4 MB, and adds about 2 seconds of latency. IP-range groups do not support the paste action; use URL match for paste rules. So this use case protects</w:t>
      </w:r>
      <w:r>
        <w:t xml:space="preserve"> </w:t>
      </w:r>
      <w:r>
        <w:rPr>
          <w:iCs/>
          <w:i/>
        </w:rPr>
        <w:t xml:space="preserve">content that matches a sensitive information type</w:t>
      </w:r>
      <w:r>
        <w:t xml:space="preserve">, not</w:t>
      </w:r>
      <w:r>
        <w:t xml:space="preserve"> </w:t>
      </w:r>
      <w:r>
        <w:rPr>
          <w:iCs/>
          <w:i/>
        </w:rPr>
        <w:t xml:space="preserve">content that came from a labeled file</w:t>
      </w:r>
      <w:r>
        <w:t xml:space="preserve">. For "text copied from a labeled file", UC-07 is the control.</w:t>
      </w:r>
    </w:p>
    <w:p>
      <w:pPr>
        <w:numPr>
          <w:ilvl w:val="0"/>
          <w:numId w:val="1011"/>
        </w:numPr>
        <w:pStyle w:val="Compact"/>
      </w:pPr>
      <w:r>
        <w:rPr>
          <w:bCs/>
          <w:b/>
        </w:rPr>
        <w:t xml:space="preserve">Platform.</w:t>
      </w:r>
      <w:r>
        <w:t xml:space="preserve"> </w:t>
      </w:r>
      <w:r>
        <w:t xml:space="preserve">Windows (Edge, Chrome and Firefox with extension). macOS in preview.</w:t>
      </w:r>
    </w:p>
    <w:p>
      <w:pPr>
        <w:numPr>
          <w:ilvl w:val="0"/>
          <w:numId w:val="1011"/>
        </w:numPr>
        <w:pStyle w:val="Compact"/>
      </w:pPr>
      <w:r>
        <w:rPr>
          <w:bCs/>
          <w:b/>
        </w:rPr>
        <w:t xml:space="preserve">Test.</w:t>
      </w:r>
      <w:r>
        <w:t xml:space="preserve"> </w:t>
      </w:r>
      <w:r>
        <w:t xml:space="preserve">Paste a test credit card number string into an unsanctioned site (blocked) and into SharePoint (allowed). Paste a 20-character string (not evaluated).</w:t>
      </w:r>
    </w:p>
    <w:p>
      <w:pPr>
        <w:numPr>
          <w:ilvl w:val="0"/>
          <w:numId w:val="1011"/>
        </w:numPr>
        <w:pStyle w:val="Compact"/>
      </w:pPr>
      <w:r>
        <w:rPr>
          <w:bCs/>
          <w:b/>
        </w:rPr>
        <w:t xml:space="preserve">Design dependency.</w:t>
      </w:r>
      <w:r>
        <w:t xml:space="preserve"> </w:t>
      </w:r>
      <w:r>
        <w:t xml:space="preserve">The organization must define which sensitive information types matter (e.g., built-in financial SITs, custom SITs for internal identifiers, Exact Data Match). Confidence:</w:t>
      </w:r>
      <w:r>
        <w:t xml:space="preserve"> </w:t>
      </w:r>
      <w:r>
        <w:rPr>
          <w:bCs/>
          <w:b/>
        </w:rPr>
        <w:t xml:space="preserve">High</w:t>
      </w:r>
      <w:r>
        <w:t xml:space="preserve"> </w:t>
      </w:r>
      <w:r>
        <w:t xml:space="preserve">on behavior,</w:t>
      </w:r>
      <w:r>
        <w:t xml:space="preserve"> </w:t>
      </w:r>
      <w:r>
        <w:rPr>
          <w:bCs/>
          <w:b/>
        </w:rPr>
        <w:t xml:space="preserve">Medium</w:t>
      </w:r>
      <w:r>
        <w:t xml:space="preserve"> </w:t>
      </w:r>
      <w:r>
        <w:t xml:space="preserve">on fit to the "labeled data" requirement.</w:t>
      </w:r>
    </w:p>
    <w:bookmarkEnd w:id="40"/>
    <w:bookmarkStart w:id="41" w:name="X4d7d17c4a47ba8dd4d0fc29c818fd723137c631"/>
    <w:p>
      <w:pPr>
        <w:pStyle w:val="Heading3"/>
      </w:pPr>
      <w:r>
        <w:t xml:space="preserve">UC-09 Transfer a labeled file to a home NAS over FTP or SFTP</w:t>
      </w:r>
    </w:p>
    <w:p>
      <w:pPr>
        <w:numPr>
          <w:ilvl w:val="0"/>
          <w:numId w:val="1012"/>
        </w:numPr>
        <w:pStyle w:val="Compact"/>
      </w:pPr>
      <w:r>
        <w:rPr>
          <w:bCs/>
          <w:b/>
        </w:rPr>
        <w:t xml:space="preserve">Story.</w:t>
      </w:r>
      <w:r>
        <w:t xml:space="preserve"> </w:t>
      </w:r>
      <w:r>
        <w:t xml:space="preserve">An employee opens WinSCP or FileZilla and uploads a Tier 3 file to the FTP or SFTP service that most consumer NAS devices expose.</w:t>
      </w:r>
    </w:p>
    <w:p>
      <w:pPr>
        <w:numPr>
          <w:ilvl w:val="0"/>
          <w:numId w:val="1012"/>
        </w:numPr>
        <w:pStyle w:val="Compact"/>
      </w:pPr>
      <w:r>
        <w:rPr>
          <w:bCs/>
          <w:b/>
        </w:rPr>
        <w:t xml:space="preserve">Expected result.</w:t>
      </w:r>
      <w:r>
        <w:t xml:space="preserve"> </w:t>
      </w:r>
      <w:r>
        <w:t xml:space="preserve">The transfer is blocked with a notification.</w:t>
      </w:r>
    </w:p>
    <w:p>
      <w:pPr>
        <w:numPr>
          <w:ilvl w:val="0"/>
          <w:numId w:val="1012"/>
        </w:numPr>
        <w:pStyle w:val="Compact"/>
      </w:pPr>
      <w:r>
        <w:rPr>
          <w:bCs/>
          <w:b/>
        </w:rPr>
        <w:t xml:space="preserve">Purview control.</w:t>
      </w:r>
      <w:r>
        <w:t xml:space="preserve"> </w:t>
      </w:r>
      <w:r>
        <w:t xml:space="preserve">Policy action "File activities for all apps → FTP and SFTP transfers = Block". This activity reached general availability in October 2026.</w:t>
      </w:r>
    </w:p>
    <w:p>
      <w:pPr>
        <w:numPr>
          <w:ilvl w:val="0"/>
          <w:numId w:val="1012"/>
        </w:numPr>
        <w:pStyle w:val="Compact"/>
      </w:pPr>
      <w:r>
        <w:rPr>
          <w:bCs/>
          <w:b/>
        </w:rPr>
        <w:t xml:space="preserve">Platform.</w:t>
      </w:r>
      <w:r>
        <w:t xml:space="preserve"> </w:t>
      </w:r>
      <w:r>
        <w:t xml:space="preserve">Windows (documented as managed Windows devices). macOS: not documented, treat as not covered.</w:t>
      </w:r>
    </w:p>
    <w:p>
      <w:pPr>
        <w:numPr>
          <w:ilvl w:val="0"/>
          <w:numId w:val="1012"/>
        </w:numPr>
        <w:pStyle w:val="Compact"/>
      </w:pPr>
      <w:r>
        <w:rPr>
          <w:bCs/>
          <w:b/>
        </w:rPr>
        <w:t xml:space="preserve">Test.</w:t>
      </w:r>
      <w:r>
        <w:t xml:space="preserve"> </w:t>
      </w:r>
      <w:r>
        <w:t xml:space="preserve">Use two FTP clients. Confirm block and that Activity explorer shows "File transfer by FTP/SFTP".</w:t>
      </w:r>
    </w:p>
    <w:p>
      <w:pPr>
        <w:numPr>
          <w:ilvl w:val="0"/>
          <w:numId w:val="1012"/>
        </w:numPr>
        <w:pStyle w:val="Compact"/>
      </w:pPr>
      <w:r>
        <w:rPr>
          <w:bCs/>
          <w:b/>
        </w:rPr>
        <w:t xml:space="preserve">Not covered.</w:t>
      </w:r>
      <w:r>
        <w:t xml:space="preserve"> </w:t>
      </w:r>
      <w:r>
        <w:t xml:space="preserve">FTP from macOS. WebDAV (treated as either a network share via Windows WebClient or a browser upload; needs lab validation). Confidence:</w:t>
      </w:r>
      <w:r>
        <w:t xml:space="preserve"> </w:t>
      </w:r>
      <w:r>
        <w:rPr>
          <w:bCs/>
          <w:b/>
        </w:rPr>
        <w:t xml:space="preserve">Medium</w:t>
      </w:r>
      <w:r>
        <w:t xml:space="preserve"> </w:t>
      </w:r>
      <w:r>
        <w:t xml:space="preserve">(new feature, limited field experience).</w:t>
      </w:r>
    </w:p>
    <w:bookmarkEnd w:id="41"/>
    <w:bookmarkStart w:id="42" w:name="Xffc1f08098f18f6c487b9d5447a7c4dd8f97977"/>
    <w:p>
      <w:pPr>
        <w:pStyle w:val="Heading3"/>
      </w:pPr>
      <w:r>
        <w:t xml:space="preserve">UC-10 Move a file Endpoint DLP cannot scan to an unsanctioned destination</w:t>
      </w:r>
    </w:p>
    <w:p>
      <w:pPr>
        <w:numPr>
          <w:ilvl w:val="0"/>
          <w:numId w:val="1013"/>
        </w:numPr>
        <w:pStyle w:val="Compact"/>
      </w:pPr>
      <w:r>
        <w:rPr>
          <w:bCs/>
          <w:b/>
        </w:rPr>
        <w:t xml:space="preserve">Story.</w:t>
      </w:r>
      <w:r>
        <w:t xml:space="preserve"> </w:t>
      </w:r>
      <w:r>
        <w:t xml:space="preserve">A user zips a Tier 3 file with a password, or renames it to an unsupported extension, and copies it to the NAS.</w:t>
      </w:r>
    </w:p>
    <w:p>
      <w:pPr>
        <w:numPr>
          <w:ilvl w:val="0"/>
          <w:numId w:val="1013"/>
        </w:numPr>
        <w:pStyle w:val="Compact"/>
      </w:pPr>
      <w:r>
        <w:rPr>
          <w:bCs/>
          <w:b/>
        </w:rPr>
        <w:t xml:space="preserve">Expected result.</w:t>
      </w:r>
      <w:r>
        <w:t xml:space="preserve"> </w:t>
      </w:r>
      <w:r>
        <w:t xml:space="preserve">The copy is blocked with override and a justification is required, because the content cannot be inspected.</w:t>
      </w:r>
    </w:p>
    <w:p>
      <w:pPr>
        <w:numPr>
          <w:ilvl w:val="0"/>
          <w:numId w:val="1013"/>
        </w:numPr>
        <w:pStyle w:val="Compact"/>
      </w:pPr>
      <w:r>
        <w:rPr>
          <w:bCs/>
          <w:b/>
        </w:rPr>
        <w:t xml:space="preserve">Purview control.</w:t>
      </w:r>
      <w:r>
        <w:t xml:space="preserve"> </w:t>
      </w:r>
      <w:r>
        <w:t xml:space="preserve">Separate rule with condition</w:t>
      </w:r>
      <w:r>
        <w:t xml:space="preserve"> </w:t>
      </w:r>
      <w:r>
        <w:rPr>
          <w:bCs/>
          <w:b/>
        </w:rPr>
        <w:t xml:space="preserve">Document could not be scanned</w:t>
      </w:r>
      <w:r>
        <w:t xml:space="preserve">, action Copy to a network share = Block with override, Copy to USB = Block with override, with "Apply restrictions to only unsupported file extensions" selected. Known harmless extensions can be excluded in endpoint settings.</w:t>
      </w:r>
    </w:p>
    <w:p>
      <w:pPr>
        <w:numPr>
          <w:ilvl w:val="0"/>
          <w:numId w:val="1013"/>
        </w:numPr>
        <w:pStyle w:val="Compact"/>
      </w:pPr>
      <w:r>
        <w:rPr>
          <w:bCs/>
          <w:b/>
        </w:rPr>
        <w:t xml:space="preserve">Platform.</w:t>
      </w:r>
      <w:r>
        <w:t xml:space="preserve"> </w:t>
      </w:r>
      <w:r>
        <w:t xml:space="preserve">Windows and macOS.</w:t>
      </w:r>
    </w:p>
    <w:p>
      <w:pPr>
        <w:numPr>
          <w:ilvl w:val="0"/>
          <w:numId w:val="1013"/>
        </w:numPr>
        <w:pStyle w:val="Compact"/>
      </w:pPr>
      <w:r>
        <w:rPr>
          <w:bCs/>
          <w:b/>
        </w:rPr>
        <w:t xml:space="preserve">Test.</w:t>
      </w:r>
      <w:r>
        <w:t xml:space="preserve"> </w:t>
      </w:r>
      <w:r>
        <w:t xml:space="preserve">Password-protected zip and a renamed</w:t>
      </w:r>
      <w:r>
        <w:t xml:space="preserve"> </w:t>
      </w:r>
      <w:r>
        <w:rPr>
          <w:rStyle w:val="VerbatimChar"/>
        </w:rPr>
        <w:t xml:space="preserve">.bin</w:t>
      </w:r>
      <w:r>
        <w:t xml:space="preserve"> </w:t>
      </w:r>
      <w:r>
        <w:t xml:space="preserve">file to an unsanctioned share.</w:t>
      </w:r>
    </w:p>
    <w:p>
      <w:pPr>
        <w:numPr>
          <w:ilvl w:val="0"/>
          <w:numId w:val="1013"/>
        </w:numPr>
        <w:pStyle w:val="Compact"/>
      </w:pPr>
      <w:r>
        <w:rPr>
          <w:bCs/>
          <w:b/>
        </w:rPr>
        <w:t xml:space="preserve">Notes.</w:t>
      </w:r>
      <w:r>
        <w:t xml:space="preserve"> </w:t>
      </w:r>
      <w:r>
        <w:t xml:space="preserve">Office and PDF files are detected by MIME type even after renaming. Labels embedded in Office files survive zipping, and archives are a monitored type, but encrypted archives cannot be read. Confidence:</w:t>
      </w:r>
      <w:r>
        <w:t xml:space="preserve"> </w:t>
      </w:r>
      <w:r>
        <w:rPr>
          <w:bCs/>
          <w:b/>
        </w:rPr>
        <w:t xml:space="preserve">High</w:t>
      </w:r>
      <w:r>
        <w:t xml:space="preserve"> </w:t>
      </w:r>
      <w:r>
        <w:t xml:space="preserve">on the rule,</w:t>
      </w:r>
      <w:r>
        <w:t xml:space="preserve"> </w:t>
      </w:r>
      <w:r>
        <w:rPr>
          <w:bCs/>
          <w:b/>
        </w:rPr>
        <w:t xml:space="preserve">Medium</w:t>
      </w:r>
      <w:r>
        <w:t xml:space="preserve"> </w:t>
      </w:r>
      <w:r>
        <w:t xml:space="preserve">on exactly which files land in the "could not be scanned" bucket.</w:t>
      </w:r>
      <w:r>
        <w:t xml:space="preserve"> </w:t>
      </w:r>
      <w:r>
        <w:rPr>
          <w:bCs/>
          <w:b/>
        </w:rPr>
        <w:t xml:space="preserve">Red-team note:</w:t>
      </w:r>
      <w:r>
        <w:t xml:space="preserve"> </w:t>
      </w:r>
      <w:r>
        <w:t xml:space="preserve">because this rule is Block with override for every tier, a password-protected archive caps Tier 3 protection at Tier 2 strength (Annex A, RT-09).</w:t>
      </w:r>
    </w:p>
    <w:bookmarkEnd w:id="42"/>
    <w:bookmarkStart w:id="43" w:name="Xf8145ed1628b199f0b8985ea561b1c0765ffeef"/>
    <w:p>
      <w:pPr>
        <w:pStyle w:val="Heading3"/>
      </w:pPr>
      <w:r>
        <w:t xml:space="preserve">UC-11 Egress of a file that has not been classified yet</w:t>
      </w:r>
    </w:p>
    <w:p>
      <w:pPr>
        <w:numPr>
          <w:ilvl w:val="0"/>
          <w:numId w:val="1014"/>
        </w:numPr>
        <w:pStyle w:val="Compact"/>
      </w:pPr>
      <w:r>
        <w:rPr>
          <w:bCs/>
          <w:b/>
        </w:rPr>
        <w:t xml:space="preserve">Story.</w:t>
      </w:r>
      <w:r>
        <w:t xml:space="preserve"> </w:t>
      </w:r>
      <w:r>
        <w:t xml:space="preserve">A user creates a new file, applies a Tier 3 label, and within seconds copies it to the NAS before Endpoint DLP has finished evaluating it.</w:t>
      </w:r>
    </w:p>
    <w:p>
      <w:pPr>
        <w:numPr>
          <w:ilvl w:val="0"/>
          <w:numId w:val="1014"/>
        </w:numPr>
        <w:pStyle w:val="Compact"/>
      </w:pPr>
      <w:r>
        <w:rPr>
          <w:bCs/>
          <w:b/>
        </w:rPr>
        <w:t xml:space="preserve">Expected result.</w:t>
      </w:r>
      <w:r>
        <w:t xml:space="preserve"> </w:t>
      </w:r>
      <w:r>
        <w:t xml:space="preserve">The egress is held until evaluation completes, then the normal verdict applies.</w:t>
      </w:r>
    </w:p>
    <w:p>
      <w:pPr>
        <w:numPr>
          <w:ilvl w:val="0"/>
          <w:numId w:val="1014"/>
        </w:numPr>
        <w:pStyle w:val="Compact"/>
      </w:pPr>
      <w:r>
        <w:rPr>
          <w:bCs/>
          <w:b/>
        </w:rPr>
        <w:t xml:space="preserve">Purview control.</w:t>
      </w:r>
      <w:r>
        <w:t xml:space="preserve"> </w:t>
      </w:r>
      <w:r>
        <w:rPr>
          <w:bCs/>
          <w:b/>
        </w:rPr>
        <w:t xml:space="preserve">Just-in-time protection</w:t>
      </w:r>
      <w:r>
        <w:t xml:space="preserve"> </w:t>
      </w:r>
      <w:r>
        <w:t xml:space="preserve">enabled in Purview settings, scoped to the pilot users, with network share coverage enabled so JIT also applies to files on mapped drives. Fallback action on classification failure: Block (after pilot).</w:t>
      </w:r>
    </w:p>
    <w:p>
      <w:pPr>
        <w:numPr>
          <w:ilvl w:val="0"/>
          <w:numId w:val="1014"/>
        </w:numPr>
        <w:pStyle w:val="Compact"/>
      </w:pPr>
      <w:r>
        <w:rPr>
          <w:bCs/>
          <w:b/>
        </w:rPr>
        <w:t xml:space="preserve">Platform.</w:t>
      </w:r>
      <w:r>
        <w:t xml:space="preserve"> </w:t>
      </w:r>
      <w:r>
        <w:t xml:space="preserve">Windows and macOS (offline-device behavior is Windows only).</w:t>
      </w:r>
    </w:p>
    <w:p>
      <w:pPr>
        <w:numPr>
          <w:ilvl w:val="0"/>
          <w:numId w:val="1014"/>
        </w:numPr>
        <w:pStyle w:val="Compact"/>
      </w:pPr>
      <w:r>
        <w:rPr>
          <w:bCs/>
          <w:b/>
        </w:rPr>
        <w:t xml:space="preserve">Test.</w:t>
      </w:r>
      <w:r>
        <w:t xml:space="preserve"> </w:t>
      </w:r>
      <w:r>
        <w:t xml:space="preserve">Create and immediately copy. Observe the "evaluation in progress" notification.</w:t>
      </w:r>
    </w:p>
    <w:p>
      <w:pPr>
        <w:numPr>
          <w:ilvl w:val="0"/>
          <w:numId w:val="1014"/>
        </w:numPr>
        <w:pStyle w:val="Compact"/>
      </w:pPr>
      <w:r>
        <w:rPr>
          <w:bCs/>
          <w:b/>
        </w:rPr>
        <w:t xml:space="preserve">Notes.</w:t>
      </w:r>
      <w:r>
        <w:t xml:space="preserve"> </w:t>
      </w:r>
      <w:r>
        <w:t xml:space="preserve">JIT adds friction when classification is slow. Keep "Control copying to clipboard" under JIT off until the impact is measured. Confidence:</w:t>
      </w:r>
      <w:r>
        <w:t xml:space="preserve"> </w:t>
      </w:r>
      <w:r>
        <w:rPr>
          <w:bCs/>
          <w:b/>
        </w:rPr>
        <w:t xml:space="preserve">High</w:t>
      </w:r>
      <w:r>
        <w:t xml:space="preserve">.</w:t>
      </w:r>
    </w:p>
    <w:bookmarkEnd w:id="43"/>
    <w:bookmarkStart w:id="44" w:name="uc-12-visibility-alerting-and-evidence"/>
    <w:p>
      <w:pPr>
        <w:pStyle w:val="Heading3"/>
      </w:pPr>
      <w:r>
        <w:t xml:space="preserve">UC-12 Visibility, alerting, and evidence</w:t>
      </w:r>
    </w:p>
    <w:p>
      <w:pPr>
        <w:numPr>
          <w:ilvl w:val="0"/>
          <w:numId w:val="1015"/>
        </w:numPr>
        <w:pStyle w:val="Compact"/>
      </w:pPr>
      <w:r>
        <w:rPr>
          <w:bCs/>
          <w:b/>
        </w:rPr>
        <w:t xml:space="preserve">Story.</w:t>
      </w:r>
      <w:r>
        <w:t xml:space="preserve"> </w:t>
      </w:r>
      <w:r>
        <w:t xml:space="preserve">The security team must see every blocked or overridden egress, who did it, from which device, to which destination, and in Tier 3 cases obtain a copy of the file.</w:t>
      </w:r>
    </w:p>
    <w:p>
      <w:pPr>
        <w:numPr>
          <w:ilvl w:val="0"/>
          <w:numId w:val="1015"/>
        </w:numPr>
        <w:pStyle w:val="Compact"/>
      </w:pPr>
      <w:r>
        <w:rPr>
          <w:bCs/>
          <w:b/>
        </w:rPr>
        <w:t xml:space="preserve">Expected result.</w:t>
      </w:r>
      <w:r>
        <w:t xml:space="preserve"> </w:t>
      </w:r>
      <w:r>
        <w:t xml:space="preserve">Events appear in Activity explorer and DLP alerts (also surfaced in Microsoft Defender XDR incidents). Overrides include the user's justification. For Tier 3, the original file is collected as evidence.</w:t>
      </w:r>
    </w:p>
    <w:p>
      <w:pPr>
        <w:numPr>
          <w:ilvl w:val="0"/>
          <w:numId w:val="1015"/>
        </w:numPr>
        <w:pStyle w:val="Compact"/>
      </w:pPr>
      <w:r>
        <w:rPr>
          <w:bCs/>
          <w:b/>
        </w:rPr>
        <w:t xml:space="preserve">Purview control.</w:t>
      </w:r>
      <w:r>
        <w:t xml:space="preserve"> </w:t>
      </w:r>
      <w:r>
        <w:t xml:space="preserve">Alerts configured per rule (single-event alerts for Tier 3, aggregated for Tier 2). Evidence collection for file activities on devices enabled, with Microsoft-managed or customer Azure storage. Optional: forward alerts to Microsoft Sentinel via the Defender XDR connector.</w:t>
      </w:r>
    </w:p>
    <w:p>
      <w:pPr>
        <w:numPr>
          <w:ilvl w:val="0"/>
          <w:numId w:val="1015"/>
        </w:numPr>
        <w:pStyle w:val="Compact"/>
      </w:pPr>
      <w:r>
        <w:rPr>
          <w:bCs/>
          <w:b/>
        </w:rPr>
        <w:t xml:space="preserve">Platform.</w:t>
      </w:r>
      <w:r>
        <w:t xml:space="preserve"> </w:t>
      </w:r>
      <w:r>
        <w:t xml:space="preserve">All.</w:t>
      </w:r>
    </w:p>
    <w:p>
      <w:pPr>
        <w:numPr>
          <w:ilvl w:val="0"/>
          <w:numId w:val="1015"/>
        </w:numPr>
        <w:pStyle w:val="Compact"/>
      </w:pPr>
      <w:r>
        <w:rPr>
          <w:bCs/>
          <w:b/>
        </w:rPr>
        <w:t xml:space="preserve">Test.</w:t>
      </w:r>
      <w:r>
        <w:t xml:space="preserve"> </w:t>
      </w:r>
      <w:r>
        <w:t xml:space="preserve">Trigger UC-01 and confirm the alert, the Activity explorer event with destination path, and the evidence file.</w:t>
      </w:r>
    </w:p>
    <w:p>
      <w:pPr>
        <w:numPr>
          <w:ilvl w:val="0"/>
          <w:numId w:val="1015"/>
        </w:numPr>
        <w:pStyle w:val="Compact"/>
      </w:pPr>
      <w:r>
        <w:rPr>
          <w:bCs/>
          <w:b/>
        </w:rPr>
        <w:t xml:space="preserve">Notes.</w:t>
      </w:r>
      <w:r>
        <w:t xml:space="preserve"> </w:t>
      </w:r>
      <w:r>
        <w:t xml:space="preserve">Evidence collection has storage cost and privacy implications; in Germany it also falls under works council co-determination. Agree retention and scope with legal, the data protection officer, and the works council before Phase 3. Microsoft documents that evidence is not collected when just-in-time protection was triggered on the file or when the file is stored on a network share, and that the maximum file size is 500 MB. Expect evidence gaps for UC-11 events. Confidence:</w:t>
      </w:r>
      <w:r>
        <w:t xml:space="preserve"> </w:t>
      </w:r>
      <w:r>
        <w:rPr>
          <w:bCs/>
          <w:b/>
        </w:rPr>
        <w:t xml:space="preserve">High</w:t>
      </w:r>
      <w:r>
        <w:t xml:space="preserve">.</w:t>
      </w:r>
    </w:p>
    <w:bookmarkEnd w:id="44"/>
    <w:bookmarkStart w:id="45" w:name="X513f265b5b515da668b141515837bdeb7a35fa2"/>
    <w:p>
      <w:pPr>
        <w:pStyle w:val="Heading3"/>
      </w:pPr>
      <w:r>
        <w:t xml:space="preserve">UC-13 Back up the bank device to a home NAS</w:t>
      </w:r>
    </w:p>
    <w:p>
      <w:pPr>
        <w:numPr>
          <w:ilvl w:val="0"/>
          <w:numId w:val="1016"/>
        </w:numPr>
        <w:pStyle w:val="Compact"/>
      </w:pPr>
      <w:r>
        <w:rPr>
          <w:bCs/>
          <w:b/>
        </w:rPr>
        <w:t xml:space="preserve">Story.</w:t>
      </w:r>
      <w:r>
        <w:t xml:space="preserve"> </w:t>
      </w:r>
      <w:r>
        <w:t xml:space="preserve">A Mac user points Time Machine at the home Synology, which advertises itself as a Time Machine target. A Windows user enables File History, or installs the NAS vendor's backup agent (Synology Active Backup for Business agent, QNAP NetBak), with the home NAS as destination. The entire user profile, including every Tier 3 file, is copied to the NAS in the background.</w:t>
      </w:r>
    </w:p>
    <w:p>
      <w:pPr>
        <w:numPr>
          <w:ilvl w:val="0"/>
          <w:numId w:val="1016"/>
        </w:numPr>
        <w:pStyle w:val="Compact"/>
      </w:pPr>
      <w:r>
        <w:rPr>
          <w:bCs/>
          <w:b/>
        </w:rPr>
        <w:t xml:space="preserve">Expected result.</w:t>
      </w:r>
      <w:r>
        <w:t xml:space="preserve"> </w:t>
      </w:r>
      <w:r>
        <w:t xml:space="preserve">No labeled file reaches the NAS.</w:t>
      </w:r>
    </w:p>
    <w:p>
      <w:pPr>
        <w:numPr>
          <w:ilvl w:val="0"/>
          <w:numId w:val="1016"/>
        </w:numPr>
        <w:pStyle w:val="Compact"/>
      </w:pPr>
      <w:r>
        <w:rPr>
          <w:bCs/>
          <w:b/>
        </w:rPr>
        <w:t xml:space="preserve">Purview control.</w:t>
      </w:r>
      <w:r>
        <w:t xml:space="preserve"> </w:t>
      </w:r>
      <w:r>
        <w:t xml:space="preserve">Only partial. Windows File History copies files individually over SMB, so "Copy to a network share = Block" (UC-01) should apply; validate in the lab. Vendor backup agents are processes that read protected files; add their executables to the "Unsanctioned sync clients" restricted app group so that access is blocked. Time Machine writes files into a sparse bundle disk image on the share, so Endpoint DLP sees image band files, not the labeled documents; expect no DLP match.</w:t>
      </w:r>
    </w:p>
    <w:p>
      <w:pPr>
        <w:numPr>
          <w:ilvl w:val="0"/>
          <w:numId w:val="1016"/>
        </w:numPr>
        <w:pStyle w:val="Compact"/>
      </w:pPr>
      <w:r>
        <w:rPr>
          <w:bCs/>
          <w:b/>
        </w:rPr>
        <w:t xml:space="preserve">Primary control (outside Purview).</w:t>
      </w:r>
      <w:r>
        <w:t xml:space="preserve"> </w:t>
      </w:r>
      <w:r>
        <w:t xml:space="preserve">Device management: disable Time Machine or restrict its destinations via Intune/Jamf configuration profile; disable File History and Windows Backup to network locations via Intune policy; block installation of vendor backup agents with application control. Corporate backup, if needed, goes to OneDrive Known Folder Move.</w:t>
      </w:r>
    </w:p>
    <w:p>
      <w:pPr>
        <w:numPr>
          <w:ilvl w:val="0"/>
          <w:numId w:val="1016"/>
        </w:numPr>
        <w:pStyle w:val="Compact"/>
      </w:pPr>
      <w:r>
        <w:rPr>
          <w:bCs/>
          <w:b/>
        </w:rPr>
        <w:t xml:space="preserve">Platform.</w:t>
      </w:r>
      <w:r>
        <w:t xml:space="preserve"> </w:t>
      </w:r>
      <w:r>
        <w:t xml:space="preserve">Windows and macOS.</w:t>
      </w:r>
    </w:p>
    <w:p>
      <w:pPr>
        <w:numPr>
          <w:ilvl w:val="0"/>
          <w:numId w:val="1016"/>
        </w:numPr>
        <w:pStyle w:val="Compact"/>
      </w:pPr>
      <w:r>
        <w:rPr>
          <w:bCs/>
          <w:b/>
        </w:rPr>
        <w:t xml:space="preserve">Test.</w:t>
      </w:r>
      <w:r>
        <w:t xml:space="preserve"> </w:t>
      </w:r>
      <w:r>
        <w:t xml:space="preserve">Enable File History to a lab NAS with a Tier 3 file in Documents (expect block or at least audit; record the result). Install one vendor backup agent (expect access blocked). Confirm the MDM profile prevents Time Machine from selecting a network destination.</w:t>
      </w:r>
    </w:p>
    <w:p>
      <w:pPr>
        <w:numPr>
          <w:ilvl w:val="0"/>
          <w:numId w:val="1016"/>
        </w:numPr>
        <w:pStyle w:val="Compact"/>
      </w:pPr>
      <w:r>
        <w:rPr>
          <w:bCs/>
          <w:b/>
        </w:rPr>
        <w:t xml:space="preserve">Not covered by Purview.</w:t>
      </w:r>
      <w:r>
        <w:t xml:space="preserve"> </w:t>
      </w:r>
      <w:r>
        <w:t xml:space="preserve">Time Machine content. Confidence:</w:t>
      </w:r>
      <w:r>
        <w:t xml:space="preserve"> </w:t>
      </w:r>
      <w:r>
        <w:rPr>
          <w:bCs/>
          <w:b/>
        </w:rPr>
        <w:t xml:space="preserve">Medium</w:t>
      </w:r>
      <w:r>
        <w:t xml:space="preserve"> </w:t>
      </w:r>
      <w:r>
        <w:t xml:space="preserve">on File History behavior,</w:t>
      </w:r>
      <w:r>
        <w:t xml:space="preserve"> </w:t>
      </w:r>
      <w:r>
        <w:rPr>
          <w:bCs/>
          <w:b/>
        </w:rPr>
        <w:t xml:space="preserve">High</w:t>
      </w:r>
      <w:r>
        <w:t xml:space="preserve"> </w:t>
      </w:r>
      <w:r>
        <w:t xml:space="preserve">that Time Machine is not covered by Endpoint DLP and must be handled by MDM.</w:t>
      </w:r>
    </w:p>
    <w:p>
      <w:r>
        <w:pict>
          <v:rect style="width:0;height:1.5pt" o:hralign="center" o:hrstd="t" o:hr="t"/>
        </w:pict>
      </w:r>
    </w:p>
    <w:bookmarkEnd w:id="45"/>
    <w:bookmarkEnd w:id="46"/>
    <w:bookmarkStart w:id="47" w:name="Xe6f979fb84e412798bb78f2168df13d4b7a023c"/>
    <w:p>
      <w:pPr>
        <w:pStyle w:val="Heading2"/>
      </w:pPr>
      <w:r>
        <w:t xml:space="preserve">6. Control mapping</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825"/>
        <w:gridCol w:w="1560"/>
        <w:gridCol w:w="1875"/>
        <w:gridCol w:w="1455"/>
        <w:gridCol w:w="1350"/>
        <w:gridCol w:w="1234"/>
        <w:gridCol w:w="491"/>
        <w:gridCol w:w="1075"/>
      </w:tblGrid>
      <w:tr>
        <w:trPr>
          <w:tblHeader w:val="true"/>
          <w:tblHeader w:val="true"/>
        </w:trPr>
        <w:tc>
          <w:tcPr>
            <w:tcW w:type="dxa" w:w="825"/>
            <w:shd w:val="clear" w:color="auto" w:fill="DCE6F1"/>
          </w:tcPr>
          <w:p>
            <w:pPr>
              <w:pStyle w:val="Compact"/>
              <w:spacing w:after="20" w:before="20"/>
              <w:jc w:val="left"/>
            </w:pPr>
            <w:r>
              <w:rPr>
                <w:b/>
                <w:sz w:val="17"/>
              </w:rPr>
              <w:t xml:space="preserve">Use case</w:t>
            </w:r>
          </w:p>
        </w:tc>
        <w:tc>
          <w:tcPr>
            <w:tcW w:type="dxa" w:w="1560"/>
            <w:shd w:val="clear" w:color="auto" w:fill="DCE6F1"/>
          </w:tcPr>
          <w:p>
            <w:pPr>
              <w:pStyle w:val="Compact"/>
              <w:spacing w:after="20" w:before="20"/>
              <w:jc w:val="left"/>
            </w:pPr>
            <w:r>
              <w:rPr>
                <w:b/>
                <w:sz w:val="17"/>
              </w:rPr>
              <w:t xml:space="preserve">Egress path</w:t>
            </w:r>
          </w:p>
        </w:tc>
        <w:tc>
          <w:tcPr>
            <w:tcW w:type="dxa" w:w="1875"/>
            <w:shd w:val="clear" w:color="auto" w:fill="DCE6F1"/>
          </w:tcPr>
          <w:p>
            <w:pPr>
              <w:pStyle w:val="Compact"/>
              <w:spacing w:after="20" w:before="20"/>
              <w:jc w:val="left"/>
            </w:pPr>
            <w:r>
              <w:rPr>
                <w:b/>
                <w:sz w:val="17"/>
              </w:rPr>
              <w:t xml:space="preserve">Purview setting (Endpoint DLP settings)</w:t>
            </w:r>
          </w:p>
        </w:tc>
        <w:tc>
          <w:tcPr>
            <w:tcW w:type="dxa" w:w="1455"/>
            <w:shd w:val="clear" w:color="auto" w:fill="DCE6F1"/>
          </w:tcPr>
          <w:p>
            <w:pPr>
              <w:pStyle w:val="Compact"/>
              <w:spacing w:after="20" w:before="20"/>
              <w:jc w:val="left"/>
            </w:pPr>
            <w:r>
              <w:rPr>
                <w:b/>
                <w:sz w:val="17"/>
              </w:rPr>
              <w:t xml:space="preserve">Policy action</w:t>
            </w:r>
          </w:p>
        </w:tc>
        <w:tc>
          <w:tcPr>
            <w:tcW w:type="dxa" w:w="1350"/>
            <w:shd w:val="clear" w:color="auto" w:fill="DCE6F1"/>
          </w:tcPr>
          <w:p>
            <w:pPr>
              <w:pStyle w:val="Compact"/>
              <w:spacing w:after="20" w:before="20"/>
              <w:jc w:val="left"/>
            </w:pPr>
            <w:r>
              <w:rPr>
                <w:b/>
                <w:sz w:val="17"/>
              </w:rPr>
              <w:t xml:space="preserve">Tier 3</w:t>
            </w:r>
          </w:p>
        </w:tc>
        <w:tc>
          <w:tcPr>
            <w:tcW w:type="dxa" w:w="1234"/>
            <w:shd w:val="clear" w:color="auto" w:fill="DCE6F1"/>
          </w:tcPr>
          <w:p>
            <w:pPr>
              <w:pStyle w:val="Compact"/>
              <w:spacing w:after="20" w:before="20"/>
              <w:jc w:val="left"/>
            </w:pPr>
            <w:r>
              <w:rPr>
                <w:b/>
                <w:sz w:val="17"/>
              </w:rPr>
              <w:t xml:space="preserve">Tier 2</w:t>
            </w:r>
          </w:p>
        </w:tc>
        <w:tc>
          <w:tcPr>
            <w:tcW w:type="dxa" w:w="491"/>
            <w:shd w:val="clear" w:color="auto" w:fill="DCE6F1"/>
          </w:tcPr>
          <w:p>
            <w:pPr>
              <w:pStyle w:val="Compact"/>
              <w:spacing w:after="20" w:before="20"/>
              <w:jc w:val="left"/>
            </w:pPr>
            <w:r>
              <w:rPr>
                <w:b/>
                <w:sz w:val="17"/>
              </w:rPr>
              <w:t xml:space="preserve">Windows</w:t>
            </w:r>
          </w:p>
        </w:tc>
        <w:tc>
          <w:tcPr>
            <w:tcW w:type="dxa" w:w="1075"/>
            <w:shd w:val="clear" w:color="auto" w:fill="DCE6F1"/>
          </w:tcPr>
          <w:p>
            <w:pPr>
              <w:pStyle w:val="Compact"/>
              <w:spacing w:after="20" w:before="20"/>
              <w:jc w:val="left"/>
            </w:pPr>
            <w:r>
              <w:rPr>
                <w:b/>
                <w:sz w:val="17"/>
              </w:rPr>
              <w:t xml:space="preserve">macOS</w:t>
            </w:r>
          </w:p>
        </w:tc>
      </w:tr>
      <w:tr>
        <w:tc>
          <w:tcPr>
            <w:tcW w:type="dxa" w:w="825"/>
          </w:tcPr>
          <w:p>
            <w:pPr>
              <w:pStyle w:val="Compact"/>
              <w:spacing w:after="20" w:before="20"/>
              <w:jc w:val="left"/>
            </w:pPr>
            <w:r>
              <w:rPr>
                <w:sz w:val="17"/>
              </w:rPr>
              <w:t xml:space="preserve">UC-01</w:t>
            </w:r>
          </w:p>
        </w:tc>
        <w:tc>
          <w:tcPr>
            <w:tcW w:type="dxa" w:w="1560"/>
          </w:tcPr>
          <w:p>
            <w:pPr>
              <w:pStyle w:val="Compact"/>
              <w:spacing w:after="20" w:before="20"/>
              <w:jc w:val="left"/>
            </w:pPr>
            <w:r>
              <w:rPr>
                <w:sz w:val="17"/>
              </w:rPr>
              <w:t xml:space="preserve">SMB/CIFS to home NAS (any unlisted share)</w:t>
            </w:r>
          </w:p>
        </w:tc>
        <w:tc>
          <w:tcPr>
            <w:tcW w:type="dxa" w:w="1875"/>
          </w:tcPr>
          <w:p>
            <w:pPr>
              <w:pStyle w:val="Compact"/>
              <w:spacing w:after="20" w:before="20"/>
              <w:jc w:val="left"/>
            </w:pPr>
            <w:r>
              <w:rPr>
                <w:sz w:val="17"/>
              </w:rPr>
              <w:t xml:space="preserve">Network share coverage enabled</w:t>
            </w:r>
          </w:p>
        </w:tc>
        <w:tc>
          <w:tcPr>
            <w:tcW w:type="dxa" w:w="1455"/>
          </w:tcPr>
          <w:p>
            <w:pPr>
              <w:pStyle w:val="Compact"/>
              <w:spacing w:after="20" w:before="20"/>
              <w:jc w:val="left"/>
            </w:pPr>
            <w:r>
              <w:rPr>
                <w:sz w:val="17"/>
              </w:rPr>
              <w:t xml:space="preserve">Copy to a network share</w:t>
            </w:r>
          </w:p>
        </w:tc>
        <w:tc>
          <w:tcPr>
            <w:tcW w:type="dxa" w:w="1350"/>
          </w:tcPr>
          <w:p>
            <w:pPr>
              <w:pStyle w:val="Compact"/>
              <w:spacing w:after="20" w:before="20"/>
              <w:jc w:val="left"/>
            </w:pPr>
            <w:r>
              <w:rPr>
                <w:sz w:val="17"/>
              </w:rPr>
              <w:t xml:space="preserve">Block</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UC-02</w:t>
            </w:r>
          </w:p>
        </w:tc>
        <w:tc>
          <w:tcPr>
            <w:tcW w:type="dxa" w:w="1560"/>
          </w:tcPr>
          <w:p>
            <w:pPr>
              <w:pStyle w:val="Compact"/>
              <w:spacing w:after="20" w:before="20"/>
              <w:jc w:val="left"/>
            </w:pPr>
            <w:r>
              <w:rPr>
                <w:sz w:val="17"/>
              </w:rPr>
              <w:t xml:space="preserve">SMB/CIFS to corporate file server</w:t>
            </w:r>
          </w:p>
        </w:tc>
        <w:tc>
          <w:tcPr>
            <w:tcW w:type="dxa" w:w="1875"/>
          </w:tcPr>
          <w:p>
            <w:pPr>
              <w:pStyle w:val="Compact"/>
              <w:spacing w:after="20" w:before="20"/>
              <w:jc w:val="left"/>
            </w:pPr>
            <w:r>
              <w:rPr>
                <w:sz w:val="17"/>
              </w:rPr>
              <w:t xml:space="preserve">Network share group "Corporate file servers"</w:t>
            </w:r>
          </w:p>
        </w:tc>
        <w:tc>
          <w:tcPr>
            <w:tcW w:type="dxa" w:w="1455"/>
          </w:tcPr>
          <w:p>
            <w:pPr>
              <w:pStyle w:val="Compact"/>
              <w:spacing w:after="20" w:before="20"/>
              <w:jc w:val="left"/>
            </w:pPr>
            <w:r>
              <w:rPr>
                <w:sz w:val="17"/>
              </w:rPr>
              <w:t xml:space="preserve">Group action Allow</w:t>
            </w:r>
          </w:p>
        </w:tc>
        <w:tc>
          <w:tcPr>
            <w:tcW w:type="dxa" w:w="1350"/>
          </w:tcPr>
          <w:p>
            <w:pPr>
              <w:pStyle w:val="Compact"/>
              <w:spacing w:after="20" w:before="20"/>
              <w:jc w:val="left"/>
            </w:pPr>
            <w:r>
              <w:rPr>
                <w:sz w:val="17"/>
              </w:rPr>
              <w:t xml:space="preserve">Allow</w:t>
            </w:r>
          </w:p>
        </w:tc>
        <w:tc>
          <w:tcPr>
            <w:tcW w:type="dxa" w:w="1234"/>
          </w:tcPr>
          <w:p>
            <w:pPr>
              <w:pStyle w:val="Compact"/>
              <w:spacing w:after="20" w:before="20"/>
              <w:jc w:val="left"/>
            </w:pPr>
            <w:r>
              <w:rPr>
                <w:sz w:val="17"/>
              </w:rPr>
              <w:t xml:space="preserve">Allow</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UC-03</w:t>
            </w:r>
          </w:p>
        </w:tc>
        <w:tc>
          <w:tcPr>
            <w:tcW w:type="dxa" w:w="1560"/>
          </w:tcPr>
          <w:p>
            <w:pPr>
              <w:pStyle w:val="Compact"/>
              <w:spacing w:after="20" w:before="20"/>
              <w:jc w:val="left"/>
            </w:pPr>
            <w:r>
              <w:rPr>
                <w:sz w:val="17"/>
              </w:rPr>
              <w:t xml:space="preserve">Browser upload to home NAS web UI or vendor relay portal</w:t>
            </w:r>
          </w:p>
        </w:tc>
        <w:tc>
          <w:tcPr>
            <w:tcW w:type="dxa" w:w="1875"/>
          </w:tcPr>
          <w:p>
            <w:pPr>
              <w:pStyle w:val="Compact"/>
              <w:spacing w:after="20" w:before="20"/>
              <w:jc w:val="left"/>
            </w:pPr>
            <w:r>
              <w:rPr>
                <w:sz w:val="17"/>
              </w:rPr>
              <w:t xml:space="preserve">Service domains = Allow (M365 listed); SSD groups "Private network storage" (IP ranges) and "NAS relay services" (URLs) = Block</w:t>
            </w:r>
          </w:p>
        </w:tc>
        <w:tc>
          <w:tcPr>
            <w:tcW w:type="dxa" w:w="1455"/>
          </w:tcPr>
          <w:p>
            <w:pPr>
              <w:pStyle w:val="Compact"/>
              <w:spacing w:after="20" w:before="20"/>
              <w:jc w:val="left"/>
            </w:pPr>
            <w:r>
              <w:rPr>
                <w:sz w:val="17"/>
              </w:rPr>
              <w:t xml:space="preserve">Upload to restricted cloud service domain</w:t>
            </w:r>
          </w:p>
        </w:tc>
        <w:tc>
          <w:tcPr>
            <w:tcW w:type="dxa" w:w="1350"/>
          </w:tcPr>
          <w:p>
            <w:pPr>
              <w:pStyle w:val="Compact"/>
              <w:spacing w:after="20" w:before="20"/>
              <w:jc w:val="left"/>
            </w:pPr>
            <w:r>
              <w:rPr>
                <w:sz w:val="17"/>
              </w:rPr>
              <w:t xml:space="preserve">Block</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 (IP group attribution Windows only)</w:t>
            </w:r>
          </w:p>
        </w:tc>
      </w:tr>
      <w:tr>
        <w:tc>
          <w:tcPr>
            <w:tcW w:type="dxa" w:w="825"/>
          </w:tcPr>
          <w:p>
            <w:pPr>
              <w:pStyle w:val="Compact"/>
              <w:spacing w:after="20" w:before="20"/>
              <w:jc w:val="left"/>
            </w:pPr>
            <w:r>
              <w:rPr>
                <w:sz w:val="17"/>
              </w:rPr>
              <w:t xml:space="preserve">UC-04</w:t>
            </w:r>
          </w:p>
        </w:tc>
        <w:tc>
          <w:tcPr>
            <w:tcW w:type="dxa" w:w="1560"/>
          </w:tcPr>
          <w:p>
            <w:pPr>
              <w:pStyle w:val="Compact"/>
              <w:spacing w:after="20" w:before="20"/>
              <w:jc w:val="left"/>
            </w:pPr>
            <w:r>
              <w:rPr>
                <w:sz w:val="17"/>
              </w:rPr>
              <w:t xml:space="preserve">Browser upload to unsanctioned cloud</w:t>
            </w:r>
          </w:p>
        </w:tc>
        <w:tc>
          <w:tcPr>
            <w:tcW w:type="dxa" w:w="1875"/>
          </w:tcPr>
          <w:p>
            <w:pPr>
              <w:pStyle w:val="Compact"/>
              <w:spacing w:after="20" w:before="20"/>
              <w:jc w:val="left"/>
            </w:pPr>
            <w:r>
              <w:rPr>
                <w:sz w:val="17"/>
              </w:rPr>
              <w:t xml:space="preserve">Service domains = Allow</w:t>
            </w:r>
          </w:p>
        </w:tc>
        <w:tc>
          <w:tcPr>
            <w:tcW w:type="dxa" w:w="1455"/>
          </w:tcPr>
          <w:p>
            <w:pPr>
              <w:pStyle w:val="Compact"/>
              <w:spacing w:after="20" w:before="20"/>
              <w:jc w:val="left"/>
            </w:pPr>
            <w:r>
              <w:rPr>
                <w:sz w:val="17"/>
              </w:rPr>
              <w:t xml:space="preserve">Upload to restricted cloud service domain</w:t>
            </w:r>
          </w:p>
        </w:tc>
        <w:tc>
          <w:tcPr>
            <w:tcW w:type="dxa" w:w="1350"/>
          </w:tcPr>
          <w:p>
            <w:pPr>
              <w:pStyle w:val="Compact"/>
              <w:spacing w:after="20" w:before="20"/>
              <w:jc w:val="left"/>
            </w:pPr>
            <w:r>
              <w:rPr>
                <w:sz w:val="17"/>
              </w:rPr>
              <w:t xml:space="preserve">Block</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UC-05</w:t>
            </w:r>
          </w:p>
        </w:tc>
        <w:tc>
          <w:tcPr>
            <w:tcW w:type="dxa" w:w="1560"/>
          </w:tcPr>
          <w:p>
            <w:pPr>
              <w:pStyle w:val="Compact"/>
              <w:spacing w:after="20" w:before="20"/>
              <w:jc w:val="left"/>
            </w:pPr>
            <w:r>
              <w:rPr>
                <w:sz w:val="17"/>
              </w:rPr>
              <w:t xml:space="preserve">Unallowed browser</w:t>
            </w:r>
          </w:p>
        </w:tc>
        <w:tc>
          <w:tcPr>
            <w:tcW w:type="dxa" w:w="1875"/>
          </w:tcPr>
          <w:p>
            <w:pPr>
              <w:pStyle w:val="Compact"/>
              <w:spacing w:after="20" w:before="20"/>
              <w:jc w:val="left"/>
            </w:pPr>
            <w:r>
              <w:rPr>
                <w:sz w:val="17"/>
              </w:rPr>
              <w:t xml:space="preserve">Unallowed browsers list</w:t>
            </w:r>
          </w:p>
        </w:tc>
        <w:tc>
          <w:tcPr>
            <w:tcW w:type="dxa" w:w="1455"/>
          </w:tcPr>
          <w:p>
            <w:pPr>
              <w:pStyle w:val="Compact"/>
              <w:spacing w:after="20" w:before="20"/>
              <w:jc w:val="left"/>
            </w:pPr>
            <w:r>
              <w:rPr>
                <w:sz w:val="17"/>
              </w:rPr>
              <w:t xml:space="preserve">(same action as UC-04)</w:t>
            </w:r>
          </w:p>
        </w:tc>
        <w:tc>
          <w:tcPr>
            <w:tcW w:type="dxa" w:w="1350"/>
          </w:tcPr>
          <w:p>
            <w:pPr>
              <w:pStyle w:val="Compact"/>
              <w:spacing w:after="20" w:before="20"/>
              <w:jc w:val="left"/>
            </w:pPr>
            <w:r>
              <w:rPr>
                <w:sz w:val="17"/>
              </w:rPr>
              <w:t xml:space="preserve">Redirect to Edge</w:t>
            </w:r>
          </w:p>
        </w:tc>
        <w:tc>
          <w:tcPr>
            <w:tcW w:type="dxa" w:w="1234"/>
          </w:tcPr>
          <w:p>
            <w:pPr>
              <w:pStyle w:val="Compact"/>
              <w:spacing w:after="20" w:before="20"/>
              <w:jc w:val="left"/>
            </w:pPr>
            <w:r>
              <w:rPr>
                <w:sz w:val="17"/>
              </w:rPr>
              <w:t xml:space="preserve">Redirect to Edge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UC-06</w:t>
            </w:r>
          </w:p>
        </w:tc>
        <w:tc>
          <w:tcPr>
            <w:tcW w:type="dxa" w:w="1560"/>
          </w:tcPr>
          <w:p>
            <w:pPr>
              <w:pStyle w:val="Compact"/>
              <w:spacing w:after="20" w:before="20"/>
              <w:jc w:val="left"/>
            </w:pPr>
            <w:r>
              <w:rPr>
                <w:sz w:val="17"/>
              </w:rPr>
              <w:t xml:space="preserve">Desktop sync client</w:t>
            </w:r>
          </w:p>
        </w:tc>
        <w:tc>
          <w:tcPr>
            <w:tcW w:type="dxa" w:w="1875"/>
          </w:tcPr>
          <w:p>
            <w:pPr>
              <w:pStyle w:val="Compact"/>
              <w:spacing w:after="20" w:before="20"/>
              <w:jc w:val="left"/>
            </w:pPr>
            <w:r>
              <w:rPr>
                <w:sz w:val="17"/>
              </w:rPr>
              <w:t xml:space="preserve">Restricted app group + Auto-quarantine</w:t>
            </w:r>
          </w:p>
        </w:tc>
        <w:tc>
          <w:tcPr>
            <w:tcW w:type="dxa" w:w="1455"/>
          </w:tcPr>
          <w:p>
            <w:pPr>
              <w:pStyle w:val="Compact"/>
              <w:spacing w:after="20" w:before="20"/>
              <w:jc w:val="left"/>
            </w:pPr>
            <w:r>
              <w:rPr>
                <w:sz w:val="17"/>
              </w:rPr>
              <w:t xml:space="preserve">File activities for apps in restricted app groups: all activity</w:t>
            </w:r>
          </w:p>
        </w:tc>
        <w:tc>
          <w:tcPr>
            <w:tcW w:type="dxa" w:w="1350"/>
          </w:tcPr>
          <w:p>
            <w:pPr>
              <w:pStyle w:val="Compact"/>
              <w:spacing w:after="20" w:before="20"/>
              <w:jc w:val="left"/>
            </w:pPr>
            <w:r>
              <w:rPr>
                <w:sz w:val="17"/>
              </w:rPr>
              <w:t xml:space="preserve">Block + quarantine</w:t>
            </w:r>
          </w:p>
        </w:tc>
        <w:tc>
          <w:tcPr>
            <w:tcW w:type="dxa" w:w="1234"/>
          </w:tcPr>
          <w:p>
            <w:pPr>
              <w:pStyle w:val="Compact"/>
              <w:spacing w:after="20" w:before="20"/>
              <w:jc w:val="left"/>
            </w:pPr>
            <w:r>
              <w:rPr>
                <w:sz w:val="17"/>
              </w:rPr>
              <w:t xml:space="preserve">Block + quarantine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UC-07</w:t>
            </w:r>
          </w:p>
        </w:tc>
        <w:tc>
          <w:tcPr>
            <w:tcW w:type="dxa" w:w="1560"/>
          </w:tcPr>
          <w:p>
            <w:pPr>
              <w:pStyle w:val="Compact"/>
              <w:spacing w:after="20" w:before="20"/>
              <w:jc w:val="left"/>
            </w:pPr>
            <w:r>
              <w:rPr>
                <w:sz w:val="17"/>
              </w:rPr>
              <w:t xml:space="preserve">Copy out of labeled file</w:t>
            </w:r>
          </w:p>
        </w:tc>
        <w:tc>
          <w:tcPr>
            <w:tcW w:type="dxa" w:w="1875"/>
          </w:tcPr>
          <w:p>
            <w:pPr>
              <w:pStyle w:val="Compact"/>
              <w:spacing w:after="20" w:before="20"/>
              <w:jc w:val="left"/>
            </w:pPr>
            <w:r>
              <w:rPr>
                <w:sz w:val="17"/>
              </w:rPr>
              <w:t xml:space="preserve">None</w:t>
            </w:r>
          </w:p>
        </w:tc>
        <w:tc>
          <w:tcPr>
            <w:tcW w:type="dxa" w:w="1455"/>
          </w:tcPr>
          <w:p>
            <w:pPr>
              <w:pStyle w:val="Compact"/>
              <w:spacing w:after="20" w:before="20"/>
              <w:jc w:val="left"/>
            </w:pPr>
            <w:r>
              <w:rPr>
                <w:sz w:val="17"/>
              </w:rPr>
              <w:t xml:space="preserve">Copy to clipboard</w:t>
            </w:r>
          </w:p>
        </w:tc>
        <w:tc>
          <w:tcPr>
            <w:tcW w:type="dxa" w:w="1350"/>
          </w:tcPr>
          <w:p>
            <w:pPr>
              <w:pStyle w:val="Compact"/>
              <w:spacing w:after="20" w:before="20"/>
              <w:jc w:val="left"/>
            </w:pPr>
            <w:r>
              <w:rPr>
                <w:sz w:val="17"/>
              </w:rPr>
              <w:t xml:space="preserve">Block</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UC-08</w:t>
            </w:r>
          </w:p>
        </w:tc>
        <w:tc>
          <w:tcPr>
            <w:tcW w:type="dxa" w:w="1560"/>
          </w:tcPr>
          <w:p>
            <w:pPr>
              <w:pStyle w:val="Compact"/>
              <w:spacing w:after="20" w:before="20"/>
              <w:jc w:val="left"/>
            </w:pPr>
            <w:r>
              <w:rPr>
                <w:sz w:val="17"/>
              </w:rPr>
              <w:t xml:space="preserve">Paste sensitive text to website</w:t>
            </w:r>
          </w:p>
        </w:tc>
        <w:tc>
          <w:tcPr>
            <w:tcW w:type="dxa" w:w="1875"/>
          </w:tcPr>
          <w:p>
            <w:pPr>
              <w:pStyle w:val="Compact"/>
              <w:spacing w:after="20" w:before="20"/>
              <w:jc w:val="left"/>
            </w:pPr>
            <w:r>
              <w:rPr>
                <w:sz w:val="17"/>
              </w:rPr>
              <w:t xml:space="preserve">SSD groups (URL match)</w:t>
            </w:r>
          </w:p>
        </w:tc>
        <w:tc>
          <w:tcPr>
            <w:tcW w:type="dxa" w:w="1455"/>
          </w:tcPr>
          <w:p>
            <w:pPr>
              <w:pStyle w:val="Compact"/>
              <w:spacing w:after="20" w:before="20"/>
              <w:jc w:val="left"/>
            </w:pPr>
            <w:r>
              <w:rPr>
                <w:sz w:val="17"/>
              </w:rPr>
              <w:t xml:space="preserve">Paste to supported browsers (SIT-based)</w:t>
            </w:r>
          </w:p>
        </w:tc>
        <w:tc>
          <w:tcPr>
            <w:tcW w:type="dxa" w:w="1350"/>
          </w:tcPr>
          <w:p>
            <w:pPr>
              <w:pStyle w:val="Compact"/>
              <w:spacing w:after="20" w:before="20"/>
              <w:jc w:val="left"/>
            </w:pPr>
            <w:r>
              <w:rPr>
                <w:sz w:val="17"/>
              </w:rPr>
              <w:t xml:space="preserve">Block per group</w:t>
            </w:r>
          </w:p>
        </w:tc>
        <w:tc>
          <w:tcPr>
            <w:tcW w:type="dxa" w:w="1234"/>
          </w:tcPr>
          <w:p>
            <w:pPr>
              <w:pStyle w:val="Compact"/>
              <w:spacing w:after="20" w:before="20"/>
              <w:jc w:val="left"/>
            </w:pPr>
            <w:r>
              <w:rPr>
                <w:sz w:val="17"/>
              </w:rPr>
              <w:t xml:space="preserve">Block w/ override per group</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Preview</w:t>
            </w:r>
          </w:p>
        </w:tc>
      </w:tr>
      <w:tr>
        <w:tc>
          <w:tcPr>
            <w:tcW w:type="dxa" w:w="825"/>
          </w:tcPr>
          <w:p>
            <w:pPr>
              <w:pStyle w:val="Compact"/>
              <w:spacing w:after="20" w:before="20"/>
              <w:jc w:val="left"/>
            </w:pPr>
            <w:r>
              <w:rPr>
                <w:sz w:val="17"/>
              </w:rPr>
              <w:t xml:space="preserve">UC-09</w:t>
            </w:r>
          </w:p>
        </w:tc>
        <w:tc>
          <w:tcPr>
            <w:tcW w:type="dxa" w:w="1560"/>
          </w:tcPr>
          <w:p>
            <w:pPr>
              <w:pStyle w:val="Compact"/>
              <w:spacing w:after="20" w:before="20"/>
              <w:jc w:val="left"/>
            </w:pPr>
            <w:r>
              <w:rPr>
                <w:sz w:val="17"/>
              </w:rPr>
              <w:t xml:space="preserve">FTP/SFTP</w:t>
            </w:r>
          </w:p>
        </w:tc>
        <w:tc>
          <w:tcPr>
            <w:tcW w:type="dxa" w:w="1875"/>
          </w:tcPr>
          <w:p>
            <w:pPr>
              <w:pStyle w:val="Compact"/>
              <w:spacing w:after="20" w:before="20"/>
              <w:jc w:val="left"/>
            </w:pPr>
            <w:r>
              <w:rPr>
                <w:sz w:val="17"/>
              </w:rPr>
              <w:t xml:space="preserve">None</w:t>
            </w:r>
          </w:p>
        </w:tc>
        <w:tc>
          <w:tcPr>
            <w:tcW w:type="dxa" w:w="1455"/>
          </w:tcPr>
          <w:p>
            <w:pPr>
              <w:pStyle w:val="Compact"/>
              <w:spacing w:after="20" w:before="20"/>
              <w:jc w:val="left"/>
            </w:pPr>
            <w:r>
              <w:rPr>
                <w:sz w:val="17"/>
              </w:rPr>
              <w:t xml:space="preserve">FTP and SFTP transfers</w:t>
            </w:r>
          </w:p>
        </w:tc>
        <w:tc>
          <w:tcPr>
            <w:tcW w:type="dxa" w:w="1350"/>
          </w:tcPr>
          <w:p>
            <w:pPr>
              <w:pStyle w:val="Compact"/>
              <w:spacing w:after="20" w:before="20"/>
              <w:jc w:val="left"/>
            </w:pPr>
            <w:r>
              <w:rPr>
                <w:sz w:val="17"/>
              </w:rPr>
              <w:t xml:space="preserve">Block</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Not documented</w:t>
            </w:r>
          </w:p>
        </w:tc>
      </w:tr>
      <w:tr>
        <w:tc>
          <w:tcPr>
            <w:tcW w:type="dxa" w:w="825"/>
          </w:tcPr>
          <w:p>
            <w:pPr>
              <w:pStyle w:val="Compact"/>
              <w:spacing w:after="20" w:before="20"/>
              <w:jc w:val="left"/>
            </w:pPr>
            <w:r>
              <w:rPr>
                <w:sz w:val="17"/>
              </w:rPr>
              <w:t xml:space="preserve">UC-10</w:t>
            </w:r>
          </w:p>
        </w:tc>
        <w:tc>
          <w:tcPr>
            <w:tcW w:type="dxa" w:w="1560"/>
          </w:tcPr>
          <w:p>
            <w:pPr>
              <w:pStyle w:val="Compact"/>
              <w:spacing w:after="20" w:before="20"/>
              <w:jc w:val="left"/>
            </w:pPr>
            <w:r>
              <w:rPr>
                <w:sz w:val="17"/>
              </w:rPr>
              <w:t xml:space="preserve">Unscannable file</w:t>
            </w:r>
          </w:p>
        </w:tc>
        <w:tc>
          <w:tcPr>
            <w:tcW w:type="dxa" w:w="1875"/>
          </w:tcPr>
          <w:p>
            <w:pPr>
              <w:pStyle w:val="Compact"/>
              <w:spacing w:after="20" w:before="20"/>
              <w:jc w:val="left"/>
            </w:pPr>
            <w:r>
              <w:rPr>
                <w:sz w:val="17"/>
              </w:rPr>
              <w:t xml:space="preserve">Unsupported file extension exclusions</w:t>
            </w:r>
          </w:p>
        </w:tc>
        <w:tc>
          <w:tcPr>
            <w:tcW w:type="dxa" w:w="1455"/>
          </w:tcPr>
          <w:p>
            <w:pPr>
              <w:pStyle w:val="Compact"/>
              <w:spacing w:after="20" w:before="20"/>
              <w:jc w:val="left"/>
            </w:pPr>
            <w:r>
              <w:rPr>
                <w:sz w:val="17"/>
              </w:rPr>
              <w:t xml:space="preserve">Document could not be scanned → network share, USB</w:t>
            </w:r>
          </w:p>
        </w:tc>
        <w:tc>
          <w:tcPr>
            <w:tcW w:type="dxa" w:w="1350"/>
          </w:tcPr>
          <w:p>
            <w:pPr>
              <w:pStyle w:val="Compact"/>
              <w:spacing w:after="20" w:before="20"/>
              <w:jc w:val="left"/>
            </w:pPr>
            <w:r>
              <w:rPr>
                <w:sz w:val="17"/>
              </w:rPr>
              <w:t xml:space="preserve">Block w/ override</w:t>
            </w:r>
          </w:p>
        </w:tc>
        <w:tc>
          <w:tcPr>
            <w:tcW w:type="dxa" w:w="1234"/>
          </w:tcPr>
          <w:p>
            <w:pPr>
              <w:pStyle w:val="Compact"/>
              <w:spacing w:after="20" w:before="20"/>
              <w:jc w:val="left"/>
            </w:pPr>
            <w:r>
              <w:rPr>
                <w:sz w:val="17"/>
              </w:rPr>
              <w:t xml:space="preserve">Block w/ override</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UC-11</w:t>
            </w:r>
          </w:p>
        </w:tc>
        <w:tc>
          <w:tcPr>
            <w:tcW w:type="dxa" w:w="1560"/>
          </w:tcPr>
          <w:p>
            <w:pPr>
              <w:pStyle w:val="Compact"/>
              <w:spacing w:after="20" w:before="20"/>
              <w:jc w:val="left"/>
            </w:pPr>
            <w:r>
              <w:rPr>
                <w:sz w:val="17"/>
              </w:rPr>
              <w:t xml:space="preserve">Not yet classified</w:t>
            </w:r>
          </w:p>
        </w:tc>
        <w:tc>
          <w:tcPr>
            <w:tcW w:type="dxa" w:w="1875"/>
          </w:tcPr>
          <w:p>
            <w:pPr>
              <w:pStyle w:val="Compact"/>
              <w:spacing w:after="20" w:before="20"/>
              <w:jc w:val="left"/>
            </w:pPr>
            <w:r>
              <w:rPr>
                <w:sz w:val="17"/>
              </w:rPr>
              <w:t xml:space="preserve">Just-in-time protection</w:t>
            </w:r>
          </w:p>
        </w:tc>
        <w:tc>
          <w:tcPr>
            <w:tcW w:type="dxa" w:w="1455"/>
          </w:tcPr>
          <w:p>
            <w:pPr>
              <w:pStyle w:val="Compact"/>
              <w:spacing w:after="20" w:before="20"/>
              <w:jc w:val="left"/>
            </w:pPr>
            <w:r>
              <w:rPr>
                <w:sz w:val="17"/>
              </w:rPr>
              <w:t xml:space="preserve">n/a (holds egress)</w:t>
            </w:r>
          </w:p>
        </w:tc>
        <w:tc>
          <w:tcPr>
            <w:tcW w:type="dxa" w:w="1350"/>
          </w:tcPr>
          <w:p>
            <w:pPr>
              <w:pStyle w:val="Compact"/>
              <w:spacing w:after="20" w:before="20"/>
              <w:jc w:val="left"/>
            </w:pPr>
            <w:r>
              <w:rPr>
                <w:sz w:val="17"/>
              </w:rPr>
              <w:t xml:space="preserve">Hold</w:t>
            </w:r>
          </w:p>
        </w:tc>
        <w:tc>
          <w:tcPr>
            <w:tcW w:type="dxa" w:w="1234"/>
          </w:tcPr>
          <w:p>
            <w:pPr>
              <w:pStyle w:val="Compact"/>
              <w:spacing w:after="20" w:before="20"/>
              <w:jc w:val="left"/>
            </w:pPr>
            <w:r>
              <w:rPr>
                <w:sz w:val="17"/>
              </w:rPr>
              <w:t xml:space="preserve">Hold</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UC-12</w:t>
            </w:r>
          </w:p>
        </w:tc>
        <w:tc>
          <w:tcPr>
            <w:tcW w:type="dxa" w:w="1560"/>
          </w:tcPr>
          <w:p>
            <w:pPr>
              <w:pStyle w:val="Compact"/>
              <w:spacing w:after="20" w:before="20"/>
              <w:jc w:val="left"/>
            </w:pPr>
            <w:r>
              <w:rPr>
                <w:sz w:val="17"/>
              </w:rPr>
              <w:t xml:space="preserve">Visibility</w:t>
            </w:r>
          </w:p>
        </w:tc>
        <w:tc>
          <w:tcPr>
            <w:tcW w:type="dxa" w:w="1875"/>
          </w:tcPr>
          <w:p>
            <w:pPr>
              <w:pStyle w:val="Compact"/>
              <w:spacing w:after="20" w:before="20"/>
              <w:jc w:val="left"/>
            </w:pPr>
            <w:r>
              <w:rPr>
                <w:sz w:val="17"/>
              </w:rPr>
              <w:t xml:space="preserve">Evidence collection; Always audit file activity</w:t>
            </w:r>
          </w:p>
        </w:tc>
        <w:tc>
          <w:tcPr>
            <w:tcW w:type="dxa" w:w="1455"/>
          </w:tcPr>
          <w:p>
            <w:pPr>
              <w:pStyle w:val="Compact"/>
              <w:spacing w:after="20" w:before="20"/>
              <w:jc w:val="left"/>
            </w:pPr>
            <w:r>
              <w:rPr>
                <w:sz w:val="17"/>
              </w:rPr>
              <w:t xml:space="preserve">Alerts, incident reports</w:t>
            </w:r>
          </w:p>
        </w:tc>
        <w:tc>
          <w:tcPr>
            <w:tcW w:type="dxa" w:w="1350"/>
          </w:tcPr>
          <w:p>
            <w:pPr>
              <w:pStyle w:val="Compact"/>
              <w:spacing w:after="20" w:before="20"/>
              <w:jc w:val="left"/>
            </w:pPr>
            <w:r>
              <w:rPr>
                <w:sz w:val="17"/>
              </w:rPr>
              <w:t xml:space="preserve">Alert + evidence</w:t>
            </w:r>
          </w:p>
        </w:tc>
        <w:tc>
          <w:tcPr>
            <w:tcW w:type="dxa" w:w="1234"/>
          </w:tcPr>
          <w:p>
            <w:pPr>
              <w:pStyle w:val="Compact"/>
              <w:spacing w:after="20" w:before="20"/>
              <w:jc w:val="left"/>
            </w:pPr>
            <w:r>
              <w:rPr>
                <w:sz w:val="17"/>
              </w:rPr>
              <w:t xml:space="preserve">Aggregated alert</w:t>
            </w:r>
          </w:p>
        </w:tc>
        <w:tc>
          <w:tcPr>
            <w:tcW w:type="dxa" w:w="491"/>
          </w:tcPr>
          <w:p>
            <w:pPr>
              <w:pStyle w:val="Compact"/>
              <w:spacing w:after="20" w:before="20"/>
              <w:jc w:val="left"/>
            </w:pPr>
            <w:r>
              <w:rPr>
                <w:sz w:val="17"/>
              </w:rPr>
              <w:t xml:space="preserve">Yes</w:t>
            </w:r>
          </w:p>
        </w:tc>
        <w:tc>
          <w:tcPr>
            <w:tcW w:type="dxa" w:w="1075"/>
          </w:tcPr>
          <w:p>
            <w:pPr>
              <w:pStyle w:val="Compact"/>
              <w:spacing w:after="20" w:before="20"/>
              <w:jc w:val="left"/>
            </w:pPr>
            <w:r>
              <w:rPr>
                <w:sz w:val="17"/>
              </w:rPr>
              <w:t xml:space="preserve">Yes</w:t>
            </w:r>
          </w:p>
        </w:tc>
      </w:tr>
      <w:tr>
        <w:tc>
          <w:tcPr>
            <w:tcW w:type="dxa" w:w="825"/>
          </w:tcPr>
          <w:p>
            <w:pPr>
              <w:pStyle w:val="Compact"/>
              <w:spacing w:after="20" w:before="20"/>
              <w:jc w:val="left"/>
            </w:pPr>
            <w:r>
              <w:rPr>
                <w:sz w:val="17"/>
              </w:rPr>
              <w:t xml:space="preserve">UC-13</w:t>
            </w:r>
          </w:p>
        </w:tc>
        <w:tc>
          <w:tcPr>
            <w:tcW w:type="dxa" w:w="1560"/>
          </w:tcPr>
          <w:p>
            <w:pPr>
              <w:pStyle w:val="Compact"/>
              <w:spacing w:after="20" w:before="20"/>
              <w:jc w:val="left"/>
            </w:pPr>
            <w:r>
              <w:rPr>
                <w:sz w:val="17"/>
              </w:rPr>
              <w:t xml:space="preserve">Device backup to home NAS</w:t>
            </w:r>
          </w:p>
        </w:tc>
        <w:tc>
          <w:tcPr>
            <w:tcW w:type="dxa" w:w="1875"/>
          </w:tcPr>
          <w:p>
            <w:pPr>
              <w:pStyle w:val="Compact"/>
              <w:spacing w:after="20" w:before="20"/>
              <w:jc w:val="left"/>
            </w:pPr>
            <w:r>
              <w:rPr>
                <w:sz w:val="17"/>
              </w:rPr>
              <w:t xml:space="preserve">Restricted app group (vendor backup agents); MDM for Time Machine / File History</w:t>
            </w:r>
          </w:p>
        </w:tc>
        <w:tc>
          <w:tcPr>
            <w:tcW w:type="dxa" w:w="1455"/>
          </w:tcPr>
          <w:p>
            <w:pPr>
              <w:pStyle w:val="Compact"/>
              <w:spacing w:after="20" w:before="20"/>
              <w:jc w:val="left"/>
            </w:pPr>
            <w:r>
              <w:rPr>
                <w:sz w:val="17"/>
              </w:rPr>
              <w:t xml:space="preserve">Copy to a network share (File History); restricted app access</w:t>
            </w:r>
          </w:p>
        </w:tc>
        <w:tc>
          <w:tcPr>
            <w:tcW w:type="dxa" w:w="1350"/>
          </w:tcPr>
          <w:p>
            <w:pPr>
              <w:pStyle w:val="Compact"/>
              <w:spacing w:after="20" w:before="20"/>
              <w:jc w:val="left"/>
            </w:pPr>
            <w:r>
              <w:rPr>
                <w:sz w:val="17"/>
              </w:rPr>
              <w:t xml:space="preserve">Block (partial)</w:t>
            </w:r>
          </w:p>
        </w:tc>
        <w:tc>
          <w:tcPr>
            <w:tcW w:type="dxa" w:w="1234"/>
          </w:tcPr>
          <w:p>
            <w:pPr>
              <w:pStyle w:val="Compact"/>
              <w:spacing w:after="20" w:before="20"/>
              <w:jc w:val="left"/>
            </w:pPr>
            <w:r>
              <w:rPr>
                <w:sz w:val="17"/>
              </w:rPr>
              <w:t xml:space="preserve">Block w/ override (partial)</w:t>
            </w:r>
          </w:p>
        </w:tc>
        <w:tc>
          <w:tcPr>
            <w:tcW w:type="dxa" w:w="491"/>
          </w:tcPr>
          <w:p>
            <w:pPr>
              <w:pStyle w:val="Compact"/>
              <w:spacing w:after="20" w:before="20"/>
              <w:jc w:val="left"/>
            </w:pPr>
            <w:r>
              <w:rPr>
                <w:sz w:val="17"/>
              </w:rPr>
              <w:t xml:space="preserve">Partial</w:t>
            </w:r>
          </w:p>
        </w:tc>
        <w:tc>
          <w:tcPr>
            <w:tcW w:type="dxa" w:w="1075"/>
          </w:tcPr>
          <w:p>
            <w:pPr>
              <w:pStyle w:val="Compact"/>
              <w:spacing w:after="20" w:before="20"/>
              <w:jc w:val="left"/>
            </w:pPr>
            <w:r>
              <w:rPr>
                <w:sz w:val="17"/>
              </w:rPr>
              <w:t xml:space="preserve">MDM only for Time Machine</w:t>
            </w:r>
          </w:p>
        </w:tc>
      </w:tr>
    </w:tbl>
    <w:p>
      <w:pPr>
        <w:pStyle w:val="BodyText"/>
      </w:pPr>
      <w:r>
        <w:t xml:space="preserve">Also recommended in the same rules, because the configuration cost is near zero: Copy to USB removable device = Block (Tier 3) / Block with override (Tier 2), Print = Block with override, Copy or move using RDP = Block with override, Copy or move using unallowed Bluetooth app = Block. These are outside the stated requirement and can be dropped if the business objects.</w:t>
      </w:r>
    </w:p>
    <w:p>
      <w:r>
        <w:pict>
          <v:rect style="width:0;height:1.5pt" o:hralign="center" o:hrstd="t" o:hr="t"/>
        </w:pict>
      </w:r>
    </w:p>
    <w:bookmarkEnd w:id="47"/>
    <w:bookmarkStart w:id="51" w:name="X810d1a480f426cfa79fd72beabdaf19dc6da6a9"/>
    <w:p>
      <w:pPr>
        <w:pStyle w:val="Heading2"/>
      </w:pPr>
      <w:r>
        <w:t xml:space="preserve">7. Policy design</w:t>
      </w:r>
    </w:p>
    <w:bookmarkStart w:id="48" w:name="X98cf219f6d59a227e9d7683c0f0b08d31922dfb"/>
    <w:p>
      <w:pPr>
        <w:pStyle w:val="Heading3"/>
      </w:pPr>
      <w:r>
        <w:t xml:space="preserve">7.1 Endpoint DLP settings (tenant-wide, configured once)</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59"/>
        <w:gridCol w:w="6906"/>
      </w:tblGrid>
      <w:tr>
        <w:trPr>
          <w:tblHeader w:val="true"/>
          <w:tblHeader w:val="true"/>
        </w:trPr>
        <w:tc>
          <w:tcPr>
            <w:tcW w:type="dxa" w:w="2959"/>
            <w:shd w:val="clear" w:color="auto" w:fill="DCE6F1"/>
          </w:tcPr>
          <w:p>
            <w:pPr>
              <w:pStyle w:val="Compact"/>
              <w:spacing w:after="20" w:before="20"/>
              <w:jc w:val="left"/>
            </w:pPr>
            <w:r>
              <w:rPr>
                <w:b/>
                <w:sz w:val="17"/>
              </w:rPr>
              <w:t xml:space="preserve">Setting</w:t>
            </w:r>
          </w:p>
        </w:tc>
        <w:tc>
          <w:tcPr>
            <w:tcW w:type="dxa" w:w="6906"/>
            <w:shd w:val="clear" w:color="auto" w:fill="DCE6F1"/>
          </w:tcPr>
          <w:p>
            <w:pPr>
              <w:pStyle w:val="Compact"/>
              <w:spacing w:after="20" w:before="20"/>
              <w:jc w:val="left"/>
            </w:pPr>
            <w:r>
              <w:rPr>
                <w:b/>
                <w:sz w:val="17"/>
              </w:rPr>
              <w:t xml:space="preserve">Value</w:t>
            </w:r>
          </w:p>
        </w:tc>
      </w:tr>
      <w:tr>
        <w:tc>
          <w:tcPr>
            <w:tcW w:type="dxa" w:w="2959"/>
          </w:tcPr>
          <w:p>
            <w:pPr>
              <w:pStyle w:val="Compact"/>
              <w:spacing w:after="20" w:before="20"/>
              <w:jc w:val="left"/>
            </w:pPr>
            <w:r>
              <w:rPr>
                <w:sz w:val="17"/>
              </w:rPr>
              <w:t xml:space="preserve">Device monitoring</w:t>
            </w:r>
          </w:p>
        </w:tc>
        <w:tc>
          <w:tcPr>
            <w:tcW w:type="dxa" w:w="6906"/>
          </w:tcPr>
          <w:p>
            <w:pPr>
              <w:pStyle w:val="Compact"/>
              <w:spacing w:after="20" w:before="20"/>
              <w:jc w:val="left"/>
            </w:pPr>
            <w:r>
              <w:rPr>
                <w:sz w:val="17"/>
              </w:rPr>
              <w:t xml:space="preserve">On for all onboarded devices</w:t>
            </w:r>
          </w:p>
        </w:tc>
      </w:tr>
      <w:tr>
        <w:tc>
          <w:tcPr>
            <w:tcW w:type="dxa" w:w="2959"/>
          </w:tcPr>
          <w:p>
            <w:pPr>
              <w:pStyle w:val="Compact"/>
              <w:spacing w:after="20" w:before="20"/>
              <w:jc w:val="left"/>
            </w:pPr>
            <w:r>
              <w:rPr>
                <w:sz w:val="17"/>
              </w:rPr>
              <w:t xml:space="preserve">Advanced classification scanning and protection</w:t>
            </w:r>
          </w:p>
        </w:tc>
        <w:tc>
          <w:tcPr>
            <w:tcW w:type="dxa" w:w="6906"/>
          </w:tcPr>
          <w:p>
            <w:pPr>
              <w:pStyle w:val="Compact"/>
              <w:spacing w:after="20" w:before="20"/>
              <w:jc w:val="left"/>
            </w:pPr>
            <w:r>
              <w:rPr>
                <w:sz w:val="17"/>
              </w:rPr>
              <w:t xml:space="preserve">On (required for labels in some scenarios, trainable classifiers, EDM); set bandwidth limit</w:t>
            </w:r>
          </w:p>
        </w:tc>
      </w:tr>
      <w:tr>
        <w:tc>
          <w:tcPr>
            <w:tcW w:type="dxa" w:w="2959"/>
          </w:tcPr>
          <w:p>
            <w:pPr>
              <w:pStyle w:val="Compact"/>
              <w:spacing w:after="20" w:before="20"/>
              <w:jc w:val="left"/>
            </w:pPr>
            <w:r>
              <w:rPr>
                <w:sz w:val="17"/>
              </w:rPr>
              <w:t xml:space="preserve">Always audit file activity for devices</w:t>
            </w:r>
          </w:p>
        </w:tc>
        <w:tc>
          <w:tcPr>
            <w:tcW w:type="dxa" w:w="6906"/>
          </w:tcPr>
          <w:p>
            <w:pPr>
              <w:pStyle w:val="Compact"/>
              <w:spacing w:after="20" w:before="20"/>
              <w:jc w:val="left"/>
            </w:pPr>
            <w:r>
              <w:rPr>
                <w:sz w:val="17"/>
              </w:rPr>
              <w:t xml:space="preserve">On</w:t>
            </w:r>
          </w:p>
        </w:tc>
      </w:tr>
      <w:tr>
        <w:tc>
          <w:tcPr>
            <w:tcW w:type="dxa" w:w="2959"/>
          </w:tcPr>
          <w:p>
            <w:pPr>
              <w:pStyle w:val="Compact"/>
              <w:spacing w:after="20" w:before="20"/>
              <w:jc w:val="left"/>
            </w:pPr>
            <w:r>
              <w:rPr>
                <w:sz w:val="17"/>
              </w:rPr>
              <w:t xml:space="preserve">Network share coverage and exclusions</w:t>
            </w:r>
          </w:p>
        </w:tc>
        <w:tc>
          <w:tcPr>
            <w:tcW w:type="dxa" w:w="6906"/>
          </w:tcPr>
          <w:p>
            <w:pPr>
              <w:pStyle w:val="Compact"/>
              <w:spacing w:after="20" w:before="20"/>
              <w:jc w:val="left"/>
            </w:pPr>
            <w:r>
              <w:rPr>
                <w:sz w:val="17"/>
              </w:rPr>
              <w:t xml:space="preserve">On; exclusions:</w:t>
            </w:r>
            <w:r>
              <w:rPr>
                <w:sz w:val="17"/>
              </w:rPr>
              <w:t xml:space="preserve"> </w:t>
            </w:r>
            <w:r>
              <w:rPr>
                <w:rStyle w:val="VerbatimChar"/>
                <w:sz w:val="17"/>
              </w:rPr>
              <w:t xml:space="preserve">[TBD]</w:t>
            </w:r>
            <w:r>
              <w:rPr>
                <w:sz w:val="17"/>
              </w:rPr>
              <w:t xml:space="preserve"> </w:t>
            </w:r>
            <w:r>
              <w:rPr>
                <w:sz w:val="17"/>
              </w:rPr>
              <w:t xml:space="preserve">(e.g., software deployment shares, roaming profile shares)</w:t>
            </w:r>
          </w:p>
        </w:tc>
      </w:tr>
      <w:tr>
        <w:tc>
          <w:tcPr>
            <w:tcW w:type="dxa" w:w="2959"/>
          </w:tcPr>
          <w:p>
            <w:pPr>
              <w:pStyle w:val="Compact"/>
              <w:spacing w:after="20" w:before="20"/>
              <w:jc w:val="left"/>
            </w:pPr>
            <w:r>
              <w:rPr>
                <w:sz w:val="17"/>
              </w:rPr>
              <w:t xml:space="preserve">Just-in-time protection</w:t>
            </w:r>
          </w:p>
        </w:tc>
        <w:tc>
          <w:tcPr>
            <w:tcW w:type="dxa" w:w="6906"/>
          </w:tcPr>
          <w:p>
            <w:pPr>
              <w:pStyle w:val="Compact"/>
              <w:spacing w:after="20" w:before="20"/>
              <w:jc w:val="left"/>
            </w:pPr>
            <w:r>
              <w:rPr>
                <w:sz w:val="17"/>
              </w:rPr>
              <w:t xml:space="preserve">On, scoped to pilot group first; fallback = Audit in pilot, Block after</w:t>
            </w:r>
          </w:p>
        </w:tc>
      </w:tr>
      <w:tr>
        <w:tc>
          <w:tcPr>
            <w:tcW w:type="dxa" w:w="2959"/>
          </w:tcPr>
          <w:p>
            <w:pPr>
              <w:pStyle w:val="Compact"/>
              <w:spacing w:after="20" w:before="20"/>
              <w:jc w:val="left"/>
            </w:pPr>
            <w:r>
              <w:rPr>
                <w:sz w:val="17"/>
              </w:rPr>
              <w:t xml:space="preserve">Restricted apps and app groups</w:t>
            </w:r>
          </w:p>
        </w:tc>
        <w:tc>
          <w:tcPr>
            <w:tcW w:type="dxa" w:w="6906"/>
          </w:tcPr>
          <w:p>
            <w:pPr>
              <w:pStyle w:val="Compact"/>
              <w:spacing w:after="20" w:before="20"/>
              <w:jc w:val="left"/>
            </w:pPr>
            <w:r>
              <w:rPr>
                <w:sz w:val="17"/>
              </w:rPr>
              <w:t xml:space="preserve">Group "Unsanctioned sync clients" per 4.5 (cloud sync clients, NAS sync clients, NAS vendor backup agents), Auto-quarantine on, quarantine path</w:t>
            </w:r>
            <w:r>
              <w:rPr>
                <w:sz w:val="17"/>
              </w:rPr>
              <w:t xml:space="preserve"> </w:t>
            </w:r>
            <w:r>
              <w:rPr>
                <w:rStyle w:val="VerbatimChar"/>
                <w:sz w:val="17"/>
              </w:rPr>
              <w:t xml:space="preserve">%homedrive%%homepath%\Microsoft DLP\Quarantine</w:t>
            </w:r>
            <w:r>
              <w:rPr>
                <w:sz w:val="17"/>
              </w:rPr>
              <w:t xml:space="preserve"> </w:t>
            </w:r>
            <w:r>
              <w:rPr>
                <w:sz w:val="17"/>
              </w:rPr>
              <w:t xml:space="preserve">(Windows) and</w:t>
            </w:r>
            <w:r>
              <w:rPr>
                <w:sz w:val="17"/>
              </w:rPr>
              <w:t xml:space="preserve"> </w:t>
            </w:r>
            <w:r>
              <w:rPr>
                <w:rStyle w:val="VerbatimChar"/>
                <w:sz w:val="17"/>
              </w:rPr>
              <w:t xml:space="preserve">[TBD]</w:t>
            </w:r>
            <w:r>
              <w:rPr>
                <w:sz w:val="17"/>
              </w:rPr>
              <w:t xml:space="preserve"> </w:t>
            </w:r>
            <w:r>
              <w:rPr>
                <w:sz w:val="17"/>
              </w:rPr>
              <w:t xml:space="preserve">(macOS), placeholder text with</w:t>
            </w:r>
            <w:r>
              <w:rPr>
                <w:sz w:val="17"/>
              </w:rPr>
              <w:t xml:space="preserve"> </w:t>
            </w:r>
            <w:r>
              <w:rPr>
                <w:rStyle w:val="VerbatimChar"/>
                <w:sz w:val="17"/>
              </w:rPr>
              <w:t xml:space="preserve">%%FileName%%</w:t>
            </w:r>
            <w:r>
              <w:rPr>
                <w:sz w:val="17"/>
              </w:rPr>
              <w:t xml:space="preserve">,</w:t>
            </w:r>
            <w:r>
              <w:rPr>
                <w:sz w:val="17"/>
              </w:rPr>
              <w:t xml:space="preserve"> </w:t>
            </w:r>
            <w:r>
              <w:rPr>
                <w:rStyle w:val="VerbatimChar"/>
                <w:sz w:val="17"/>
              </w:rPr>
              <w:t xml:space="preserve">%%PolicyName%%</w:t>
            </w:r>
            <w:r>
              <w:rPr>
                <w:sz w:val="17"/>
              </w:rPr>
              <w:t xml:space="preserve">,</w:t>
            </w:r>
            <w:r>
              <w:rPr>
                <w:sz w:val="17"/>
              </w:rPr>
              <w:t xml:space="preserve"> </w:t>
            </w:r>
            <w:r>
              <w:rPr>
                <w:rStyle w:val="VerbatimChar"/>
                <w:sz w:val="17"/>
              </w:rPr>
              <w:t xml:space="preserve">%%QuarantinePath%%</w:t>
            </w:r>
          </w:p>
        </w:tc>
      </w:tr>
      <w:tr>
        <w:tc>
          <w:tcPr>
            <w:tcW w:type="dxa" w:w="2959"/>
          </w:tcPr>
          <w:p>
            <w:pPr>
              <w:pStyle w:val="Compact"/>
              <w:spacing w:after="20" w:before="20"/>
              <w:jc w:val="left"/>
            </w:pPr>
            <w:r>
              <w:rPr>
                <w:sz w:val="17"/>
              </w:rPr>
              <w:t xml:space="preserve">Unallowed browsers</w:t>
            </w:r>
          </w:p>
        </w:tc>
        <w:tc>
          <w:tcPr>
            <w:tcW w:type="dxa" w:w="6906"/>
          </w:tcPr>
          <w:p>
            <w:pPr>
              <w:pStyle w:val="Compact"/>
              <w:spacing w:after="20" w:before="20"/>
              <w:jc w:val="left"/>
            </w:pPr>
            <w:r>
              <w:rPr>
                <w:sz w:val="17"/>
              </w:rPr>
              <w:t xml:space="preserve">Per 4.6</w:t>
            </w:r>
          </w:p>
        </w:tc>
      </w:tr>
      <w:tr>
        <w:tc>
          <w:tcPr>
            <w:tcW w:type="dxa" w:w="2959"/>
          </w:tcPr>
          <w:p>
            <w:pPr>
              <w:pStyle w:val="Compact"/>
              <w:spacing w:after="20" w:before="20"/>
              <w:jc w:val="left"/>
            </w:pPr>
            <w:r>
              <w:rPr>
                <w:sz w:val="17"/>
              </w:rPr>
              <w:t xml:space="preserve">Service domains</w:t>
            </w:r>
          </w:p>
        </w:tc>
        <w:tc>
          <w:tcPr>
            <w:tcW w:type="dxa" w:w="6906"/>
          </w:tcPr>
          <w:p>
            <w:pPr>
              <w:pStyle w:val="Compact"/>
              <w:spacing w:after="20" w:before="20"/>
              <w:jc w:val="left"/>
            </w:pPr>
            <w:r>
              <w:rPr>
                <w:bCs/>
                <w:b/>
                <w:sz w:val="17"/>
              </w:rPr>
              <w:t xml:space="preserve">Allow</w:t>
            </w:r>
            <w:r>
              <w:rPr>
                <w:sz w:val="17"/>
              </w:rPr>
              <w:t xml:space="preserve"> </w:t>
            </w:r>
            <w:r>
              <w:rPr>
                <w:sz w:val="17"/>
              </w:rPr>
              <w:t xml:space="preserve">mode; entries per 4.2 (max 50)</w:t>
            </w:r>
          </w:p>
        </w:tc>
      </w:tr>
      <w:tr>
        <w:tc>
          <w:tcPr>
            <w:tcW w:type="dxa" w:w="2959"/>
          </w:tcPr>
          <w:p>
            <w:pPr>
              <w:pStyle w:val="Compact"/>
              <w:spacing w:after="20" w:before="20"/>
              <w:jc w:val="left"/>
            </w:pPr>
            <w:r>
              <w:rPr>
                <w:sz w:val="17"/>
              </w:rPr>
              <w:t xml:space="preserve">Sensitive service domain groups</w:t>
            </w:r>
          </w:p>
        </w:tc>
        <w:tc>
          <w:tcPr>
            <w:tcW w:type="dxa" w:w="6906"/>
          </w:tcPr>
          <w:p>
            <w:pPr>
              <w:pStyle w:val="Compact"/>
              <w:spacing w:after="20" w:before="20"/>
              <w:jc w:val="left"/>
            </w:pPr>
            <w:r>
              <w:rPr>
                <w:sz w:val="17"/>
              </w:rPr>
              <w:t xml:space="preserve">"Sanctioned M365 web apps" (URL) = Allow; "Sanctioned internal web apps" (URL, 4.4, may be empty) = Allow; "Private network storage" (IP ranges) = Block; "NAS relay services" (URL) = Block; built-in "Generative AI websites" = Block</w:t>
            </w:r>
          </w:p>
        </w:tc>
      </w:tr>
      <w:tr>
        <w:tc>
          <w:tcPr>
            <w:tcW w:type="dxa" w:w="2959"/>
          </w:tcPr>
          <w:p>
            <w:pPr>
              <w:pStyle w:val="Compact"/>
              <w:spacing w:after="20" w:before="20"/>
              <w:jc w:val="left"/>
            </w:pPr>
            <w:r>
              <w:rPr>
                <w:sz w:val="17"/>
              </w:rPr>
              <w:t xml:space="preserve">Network share groups</w:t>
            </w:r>
          </w:p>
        </w:tc>
        <w:tc>
          <w:tcPr>
            <w:tcW w:type="dxa" w:w="6906"/>
          </w:tcPr>
          <w:p>
            <w:pPr>
              <w:pStyle w:val="Compact"/>
              <w:spacing w:after="20" w:before="20"/>
              <w:jc w:val="left"/>
            </w:pPr>
            <w:r>
              <w:rPr>
                <w:sz w:val="17"/>
              </w:rPr>
              <w:t xml:space="preserve">"Corporate file servers" per 4.3 (may be empty)</w:t>
            </w:r>
          </w:p>
        </w:tc>
      </w:tr>
      <w:tr>
        <w:tc>
          <w:tcPr>
            <w:tcW w:type="dxa" w:w="2959"/>
          </w:tcPr>
          <w:p>
            <w:pPr>
              <w:pStyle w:val="Compact"/>
              <w:spacing w:after="20" w:before="20"/>
              <w:jc w:val="left"/>
            </w:pPr>
            <w:r>
              <w:rPr>
                <w:sz w:val="17"/>
              </w:rPr>
              <w:t xml:space="preserve">Printer groups, Removable USB device groups</w:t>
            </w:r>
          </w:p>
        </w:tc>
        <w:tc>
          <w:tcPr>
            <w:tcW w:type="dxa" w:w="6906"/>
          </w:tcPr>
          <w:p>
            <w:pPr>
              <w:pStyle w:val="Compact"/>
              <w:spacing w:after="20" w:before="20"/>
              <w:jc w:val="left"/>
            </w:pPr>
            <w:r>
              <w:rPr>
                <w:sz w:val="17"/>
              </w:rPr>
              <w:t xml:space="preserve">Optional;</w:t>
            </w:r>
            <w:r>
              <w:rPr>
                <w:sz w:val="17"/>
              </w:rPr>
              <w:t xml:space="preserve"> </w:t>
            </w:r>
            <w:r>
              <w:rPr>
                <w:rStyle w:val="VerbatimChar"/>
                <w:sz w:val="17"/>
              </w:rPr>
              <w:t xml:space="preserve">[TBD]</w:t>
            </w:r>
            <w:r>
              <w:rPr>
                <w:sz w:val="17"/>
              </w:rPr>
              <w:t xml:space="preserve"> </w:t>
            </w:r>
            <w:r>
              <w:rPr>
                <w:sz w:val="17"/>
              </w:rPr>
              <w:t xml:space="preserve">if the extra activities in section 6 are adopted</w:t>
            </w:r>
          </w:p>
        </w:tc>
      </w:tr>
      <w:tr>
        <w:tc>
          <w:tcPr>
            <w:tcW w:type="dxa" w:w="2959"/>
          </w:tcPr>
          <w:p>
            <w:pPr>
              <w:pStyle w:val="Compact"/>
              <w:spacing w:after="20" w:before="20"/>
              <w:jc w:val="left"/>
            </w:pPr>
            <w:r>
              <w:rPr>
                <w:sz w:val="17"/>
              </w:rPr>
              <w:t xml:space="preserve">VPN settings</w:t>
            </w:r>
          </w:p>
        </w:tc>
        <w:tc>
          <w:tcPr>
            <w:tcW w:type="dxa" w:w="6906"/>
          </w:tcPr>
          <w:p>
            <w:pPr>
              <w:pStyle w:val="Compact"/>
              <w:spacing w:after="20" w:before="20"/>
              <w:jc w:val="left"/>
            </w:pPr>
            <w:r>
              <w:rPr>
                <w:sz w:val="17"/>
              </w:rPr>
              <w:t xml:space="preserve">Optional;</w:t>
            </w:r>
            <w:r>
              <w:rPr>
                <w:sz w:val="17"/>
              </w:rPr>
              <w:t xml:space="preserve"> </w:t>
            </w:r>
            <w:r>
              <w:rPr>
                <w:rStyle w:val="VerbatimChar"/>
                <w:sz w:val="17"/>
              </w:rPr>
              <w:t xml:space="preserve">[TBD]</w:t>
            </w:r>
            <w:r>
              <w:rPr>
                <w:sz w:val="17"/>
              </w:rPr>
              <w:t xml:space="preserve"> </w:t>
            </w:r>
            <w:r>
              <w:rPr>
                <w:sz w:val="17"/>
              </w:rPr>
              <w:t xml:space="preserve">if behavior should differ on corporate VPN (Windows only)</w:t>
            </w:r>
          </w:p>
        </w:tc>
      </w:tr>
      <w:tr>
        <w:tc>
          <w:tcPr>
            <w:tcW w:type="dxa" w:w="2959"/>
          </w:tcPr>
          <w:p>
            <w:pPr>
              <w:pStyle w:val="Compact"/>
              <w:spacing w:after="20" w:before="20"/>
              <w:jc w:val="left"/>
            </w:pPr>
            <w:r>
              <w:rPr>
                <w:sz w:val="17"/>
              </w:rPr>
              <w:t xml:space="preserve">Business justification in policy tips</w:t>
            </w:r>
          </w:p>
        </w:tc>
        <w:tc>
          <w:tcPr>
            <w:tcW w:type="dxa" w:w="6906"/>
          </w:tcPr>
          <w:p>
            <w:pPr>
              <w:pStyle w:val="Compact"/>
              <w:spacing w:after="20" w:before="20"/>
              <w:jc w:val="left"/>
            </w:pPr>
            <w:r>
              <w:rPr>
                <w:sz w:val="17"/>
              </w:rPr>
              <w:t xml:space="preserve">On; customize justification options</w:t>
            </w:r>
          </w:p>
        </w:tc>
      </w:tr>
      <w:tr>
        <w:tc>
          <w:tcPr>
            <w:tcW w:type="dxa" w:w="2959"/>
          </w:tcPr>
          <w:p>
            <w:pPr>
              <w:pStyle w:val="Compact"/>
              <w:spacing w:after="20" w:before="20"/>
              <w:jc w:val="left"/>
            </w:pPr>
            <w:r>
              <w:rPr>
                <w:sz w:val="17"/>
              </w:rPr>
              <w:t xml:space="preserve">Evidence collection for file activities on devices</w:t>
            </w:r>
          </w:p>
        </w:tc>
        <w:tc>
          <w:tcPr>
            <w:tcW w:type="dxa" w:w="6906"/>
          </w:tcPr>
          <w:p>
            <w:pPr>
              <w:pStyle w:val="Compact"/>
              <w:spacing w:after="20" w:before="20"/>
              <w:jc w:val="left"/>
            </w:pPr>
            <w:r>
              <w:rPr>
                <w:sz w:val="17"/>
              </w:rPr>
              <w:t xml:space="preserve">On; storage</w:t>
            </w:r>
            <w:r>
              <w:rPr>
                <w:sz w:val="17"/>
              </w:rPr>
              <w:t xml:space="preserve"> </w:t>
            </w:r>
            <w:r>
              <w:rPr>
                <w:rStyle w:val="VerbatimChar"/>
                <w:sz w:val="17"/>
              </w:rPr>
              <w:t xml:space="preserve">[TBD Microsoft-managed or customer Azure Blob]</w:t>
            </w:r>
            <w:r>
              <w:rPr>
                <w:sz w:val="17"/>
              </w:rPr>
              <w:t xml:space="preserve">; retention</w:t>
            </w:r>
            <w:r>
              <w:rPr>
                <w:sz w:val="17"/>
              </w:rPr>
              <w:t xml:space="preserve"> </w:t>
            </w:r>
            <w:r>
              <w:rPr>
                <w:rStyle w:val="VerbatimChar"/>
                <w:sz w:val="17"/>
              </w:rPr>
              <w:t xml:space="preserve">[TBD]</w:t>
            </w:r>
          </w:p>
        </w:tc>
      </w:tr>
      <w:tr>
        <w:tc>
          <w:tcPr>
            <w:tcW w:type="dxa" w:w="2959"/>
          </w:tcPr>
          <w:p>
            <w:pPr>
              <w:pStyle w:val="Compact"/>
              <w:spacing w:after="20" w:before="20"/>
              <w:jc w:val="left"/>
            </w:pPr>
            <w:r>
              <w:rPr>
                <w:sz w:val="17"/>
              </w:rPr>
              <w:t xml:space="preserve">File path exclusions</w:t>
            </w:r>
          </w:p>
        </w:tc>
        <w:tc>
          <w:tcPr>
            <w:tcW w:type="dxa" w:w="6906"/>
          </w:tcPr>
          <w:p>
            <w:pPr>
              <w:pStyle w:val="Compact"/>
              <w:spacing w:after="20" w:before="20"/>
              <w:jc w:val="left"/>
            </w:pPr>
            <w:r>
              <w:rPr>
                <w:sz w:val="17"/>
              </w:rPr>
              <w:t xml:space="preserve">Default plus</w:t>
            </w:r>
            <w:r>
              <w:rPr>
                <w:sz w:val="17"/>
              </w:rPr>
              <w:t xml:space="preserve"> </w:t>
            </w:r>
            <w:r>
              <w:rPr>
                <w:rStyle w:val="VerbatimChar"/>
                <w:sz w:val="17"/>
              </w:rPr>
              <w:t xml:space="preserve">[TBD]</w:t>
            </w:r>
            <w:r>
              <w:rPr>
                <w:sz w:val="17"/>
              </w:rPr>
              <w:t xml:space="preserve"> </w:t>
            </w:r>
            <w:r>
              <w:rPr>
                <w:sz w:val="17"/>
              </w:rPr>
              <w:t xml:space="preserve">build/output folders that generate noise</w:t>
            </w:r>
          </w:p>
        </w:tc>
      </w:tr>
    </w:tbl>
    <w:bookmarkEnd w:id="48"/>
    <w:bookmarkStart w:id="49" w:name="X1062efb9a7e6dd0150c28defe4af6b22a2d34d9"/>
    <w:p>
      <w:pPr>
        <w:pStyle w:val="Heading3"/>
      </w:pPr>
      <w:r>
        <w:t xml:space="preserve">7.2 DLP policies (Devices location only, Admin unit = Full directory)</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55"/>
        <w:gridCol w:w="720"/>
        <w:gridCol w:w="3781"/>
        <w:gridCol w:w="3909"/>
      </w:tblGrid>
      <w:tr>
        <w:trPr>
          <w:tblHeader w:val="true"/>
          <w:tblHeader w:val="true"/>
        </w:trPr>
        <w:tc>
          <w:tcPr>
            <w:tcW w:type="dxa" w:w="1455"/>
            <w:shd w:val="clear" w:color="auto" w:fill="DCE6F1"/>
          </w:tcPr>
          <w:p>
            <w:pPr>
              <w:pStyle w:val="Compact"/>
              <w:spacing w:after="20" w:before="20"/>
              <w:jc w:val="left"/>
            </w:pPr>
            <w:r>
              <w:rPr>
                <w:b/>
                <w:sz w:val="17"/>
              </w:rPr>
              <w:t xml:space="preserve">Policy</w:t>
            </w:r>
          </w:p>
        </w:tc>
        <w:tc>
          <w:tcPr>
            <w:tcW w:type="dxa" w:w="720"/>
            <w:shd w:val="clear" w:color="auto" w:fill="DCE6F1"/>
          </w:tcPr>
          <w:p>
            <w:pPr>
              <w:pStyle w:val="Compact"/>
              <w:spacing w:after="20" w:before="20"/>
              <w:jc w:val="left"/>
            </w:pPr>
            <w:r>
              <w:rPr>
                <w:b/>
                <w:sz w:val="17"/>
              </w:rPr>
              <w:t xml:space="preserve">Rule</w:t>
            </w:r>
          </w:p>
        </w:tc>
        <w:tc>
          <w:tcPr>
            <w:tcW w:type="dxa" w:w="3781"/>
            <w:shd w:val="clear" w:color="auto" w:fill="DCE6F1"/>
          </w:tcPr>
          <w:p>
            <w:pPr>
              <w:pStyle w:val="Compact"/>
              <w:spacing w:after="20" w:before="20"/>
              <w:jc w:val="left"/>
            </w:pPr>
            <w:r>
              <w:rPr>
                <w:b/>
                <w:sz w:val="17"/>
              </w:rPr>
              <w:t xml:space="preserve">Condition</w:t>
            </w:r>
          </w:p>
        </w:tc>
        <w:tc>
          <w:tcPr>
            <w:tcW w:type="dxa" w:w="3909"/>
            <w:shd w:val="clear" w:color="auto" w:fill="DCE6F1"/>
          </w:tcPr>
          <w:p>
            <w:pPr>
              <w:pStyle w:val="Compact"/>
              <w:spacing w:after="20" w:before="20"/>
              <w:jc w:val="left"/>
            </w:pPr>
            <w:r>
              <w:rPr>
                <w:b/>
                <w:sz w:val="17"/>
              </w:rPr>
              <w:t xml:space="preserve">Actions</w:t>
            </w:r>
          </w:p>
        </w:tc>
      </w:tr>
      <w:tr>
        <w:tc>
          <w:tcPr>
            <w:tcW w:type="dxa" w:w="1455"/>
          </w:tcPr>
          <w:p>
            <w:pPr>
              <w:pStyle w:val="Compact"/>
              <w:spacing w:after="20" w:before="20"/>
              <w:jc w:val="left"/>
            </w:pPr>
            <w:r>
              <w:rPr>
                <w:bCs/>
                <w:b/>
                <w:sz w:val="17"/>
              </w:rPr>
              <w:t xml:space="preserve">EDLP-01 Tier 3 Block</w:t>
            </w:r>
          </w:p>
        </w:tc>
        <w:tc>
          <w:tcPr>
            <w:tcW w:type="dxa" w:w="720"/>
          </w:tcPr>
          <w:p>
            <w:pPr>
              <w:pStyle w:val="Compact"/>
              <w:spacing w:after="20" w:before="20"/>
              <w:jc w:val="left"/>
            </w:pPr>
            <w:r>
              <w:rPr>
                <w:sz w:val="17"/>
              </w:rPr>
              <w:t xml:space="preserve">R1</w:t>
            </w:r>
          </w:p>
        </w:tc>
        <w:tc>
          <w:tcPr>
            <w:tcW w:type="dxa" w:w="3781"/>
          </w:tcPr>
          <w:p>
            <w:pPr>
              <w:pStyle w:val="Compact"/>
              <w:spacing w:after="20" w:before="20"/>
              <w:jc w:val="left"/>
            </w:pPr>
            <w:r>
              <w:rPr>
                <w:sz w:val="17"/>
              </w:rPr>
              <w:t xml:space="preserve">Content contains → Sensitivity label ∈ Tier 3 labels</w:t>
            </w:r>
          </w:p>
        </w:tc>
        <w:tc>
          <w:tcPr>
            <w:tcW w:type="dxa" w:w="3909"/>
          </w:tcPr>
          <w:p>
            <w:pPr>
              <w:pStyle w:val="Compact"/>
              <w:spacing w:after="20" w:before="20"/>
              <w:jc w:val="left"/>
            </w:pPr>
            <w:r>
              <w:rPr>
                <w:sz w:val="17"/>
              </w:rPr>
              <w:t xml:space="preserve">Copy to network share = Block, "Corporate file servers" group = Allow; Upload to restricted cloud service domain = Block, "Sanctioned internal web apps" group = Allow, "Private network storage" and "NAS relay services" groups = Block; Copy to clipboard = Block; FTP/SFTP = Block; restricted app group "Unsanctioned sync clients" = Block all activity; USB = Block; Print, RDP = Block with override; Bluetooth = Block. User notification on, policy tip on. Alert: every event, severity High. Evidence collection on.</w:t>
            </w:r>
          </w:p>
        </w:tc>
      </w:tr>
      <w:tr>
        <w:tc>
          <w:tcPr>
            <w:tcW w:type="dxa" w:w="1455"/>
          </w:tcPr>
          <w:p>
            <w:pPr>
              <w:pStyle w:val="Compact"/>
              <w:spacing w:after="20" w:before="20"/>
              <w:jc w:val="left"/>
            </w:pPr>
            <w:r>
              <w:rPr>
                <w:bCs/>
                <w:b/>
                <w:sz w:val="17"/>
              </w:rPr>
              <w:t xml:space="preserve">EDLP-02 Tier 2 Block with override</w:t>
            </w:r>
          </w:p>
        </w:tc>
        <w:tc>
          <w:tcPr>
            <w:tcW w:type="dxa" w:w="720"/>
          </w:tcPr>
          <w:p>
            <w:pPr>
              <w:pStyle w:val="Compact"/>
              <w:spacing w:after="20" w:before="20"/>
              <w:jc w:val="left"/>
            </w:pPr>
            <w:r>
              <w:rPr>
                <w:sz w:val="17"/>
              </w:rPr>
              <w:t xml:space="preserve">R1</w:t>
            </w:r>
          </w:p>
        </w:tc>
        <w:tc>
          <w:tcPr>
            <w:tcW w:type="dxa" w:w="3781"/>
          </w:tcPr>
          <w:p>
            <w:pPr>
              <w:pStyle w:val="Compact"/>
              <w:spacing w:after="20" w:before="20"/>
              <w:jc w:val="left"/>
            </w:pPr>
            <w:r>
              <w:rPr>
                <w:sz w:val="17"/>
              </w:rPr>
              <w:t xml:space="preserve">Content contains → Sensitivity label ∈ Tier 2 labels</w:t>
            </w:r>
          </w:p>
        </w:tc>
        <w:tc>
          <w:tcPr>
            <w:tcW w:type="dxa" w:w="3909"/>
          </w:tcPr>
          <w:p>
            <w:pPr>
              <w:pStyle w:val="Compact"/>
              <w:spacing w:after="20" w:before="20"/>
              <w:jc w:val="left"/>
            </w:pPr>
            <w:r>
              <w:rPr>
                <w:sz w:val="17"/>
              </w:rPr>
              <w:t xml:space="preserve">Same activities as EDLP-01 but Block with override; business justification required. Alert: aggregated (e.g., 5 events / 60 min per user), severity Medium.</w:t>
            </w:r>
          </w:p>
        </w:tc>
      </w:tr>
      <w:tr>
        <w:tc>
          <w:tcPr>
            <w:tcW w:type="dxa" w:w="1455"/>
          </w:tcPr>
          <w:p>
            <w:pPr>
              <w:pStyle w:val="Compact"/>
              <w:spacing w:after="20" w:before="20"/>
              <w:jc w:val="left"/>
            </w:pPr>
            <w:r>
              <w:rPr>
                <w:bCs/>
                <w:b/>
                <w:sz w:val="17"/>
              </w:rPr>
              <w:t xml:space="preserve">EDLP-03 Unscannable</w:t>
            </w:r>
          </w:p>
        </w:tc>
        <w:tc>
          <w:tcPr>
            <w:tcW w:type="dxa" w:w="720"/>
          </w:tcPr>
          <w:p>
            <w:pPr>
              <w:pStyle w:val="Compact"/>
              <w:spacing w:after="20" w:before="20"/>
              <w:jc w:val="left"/>
            </w:pPr>
            <w:r>
              <w:rPr>
                <w:sz w:val="17"/>
              </w:rPr>
              <w:t xml:space="preserve">R1</w:t>
            </w:r>
          </w:p>
        </w:tc>
        <w:tc>
          <w:tcPr>
            <w:tcW w:type="dxa" w:w="3781"/>
          </w:tcPr>
          <w:p>
            <w:pPr>
              <w:pStyle w:val="Compact"/>
              <w:spacing w:after="20" w:before="20"/>
              <w:jc w:val="left"/>
            </w:pPr>
            <w:r>
              <w:rPr>
                <w:sz w:val="17"/>
              </w:rPr>
              <w:t xml:space="preserve">Document could not be scanned; Apply restrictions to only unsupported file extensions</w:t>
            </w:r>
          </w:p>
        </w:tc>
        <w:tc>
          <w:tcPr>
            <w:tcW w:type="dxa" w:w="3909"/>
          </w:tcPr>
          <w:p>
            <w:pPr>
              <w:pStyle w:val="Compact"/>
              <w:spacing w:after="20" w:before="20"/>
              <w:jc w:val="left"/>
            </w:pPr>
            <w:r>
              <w:rPr>
                <w:sz w:val="17"/>
              </w:rPr>
              <w:t xml:space="preserve">Copy to network share = Block with override, "Corporate file servers" = Allow; Copy to USB = Block with override. Alert: aggregated.</w:t>
            </w:r>
          </w:p>
        </w:tc>
      </w:tr>
      <w:tr>
        <w:tc>
          <w:tcPr>
            <w:tcW w:type="dxa" w:w="1455"/>
          </w:tcPr>
          <w:p>
            <w:pPr>
              <w:pStyle w:val="Compact"/>
              <w:spacing w:after="20" w:before="20"/>
              <w:jc w:val="left"/>
            </w:pPr>
            <w:r>
              <w:rPr>
                <w:bCs/>
                <w:b/>
                <w:sz w:val="17"/>
              </w:rPr>
              <w:t xml:space="preserve">EDLP-04 Paste to browser (SIT)</w:t>
            </w:r>
          </w:p>
        </w:tc>
        <w:tc>
          <w:tcPr>
            <w:tcW w:type="dxa" w:w="720"/>
          </w:tcPr>
          <w:p>
            <w:pPr>
              <w:pStyle w:val="Compact"/>
              <w:spacing w:after="20" w:before="20"/>
              <w:jc w:val="left"/>
            </w:pPr>
            <w:r>
              <w:rPr>
                <w:sz w:val="17"/>
              </w:rPr>
              <w:t xml:space="preserve">R1</w:t>
            </w:r>
          </w:p>
        </w:tc>
        <w:tc>
          <w:tcPr>
            <w:tcW w:type="dxa" w:w="3781"/>
          </w:tcPr>
          <w:p>
            <w:pPr>
              <w:pStyle w:val="Compact"/>
              <w:spacing w:after="20" w:before="20"/>
              <w:jc w:val="left"/>
            </w:pPr>
            <w:r>
              <w:rPr>
                <w:sz w:val="17"/>
              </w:rPr>
              <w:t xml:space="preserve">Content contains → Sensitive info types</w:t>
            </w:r>
            <w:r>
              <w:rPr>
                <w:sz w:val="17"/>
              </w:rPr>
              <w:t xml:space="preserve"> </w:t>
            </w:r>
            <w:r>
              <w:rPr>
                <w:rStyle w:val="VerbatimChar"/>
                <w:sz w:val="17"/>
              </w:rPr>
              <w:t xml:space="preserve">[TBD list]</w:t>
            </w:r>
            <w:r>
              <w:rPr>
                <w:sz w:val="17"/>
              </w:rPr>
              <w:t xml:space="preserve"> </w:t>
            </w:r>
            <w:r>
              <w:rPr>
                <w:sz w:val="17"/>
              </w:rPr>
              <w:t xml:space="preserve">(high confidence, min count 1)</w:t>
            </w:r>
          </w:p>
        </w:tc>
        <w:tc>
          <w:tcPr>
            <w:tcW w:type="dxa" w:w="3909"/>
          </w:tcPr>
          <w:p>
            <w:pPr>
              <w:pStyle w:val="Compact"/>
              <w:spacing w:after="20" w:before="20"/>
              <w:jc w:val="left"/>
            </w:pPr>
            <w:r>
              <w:rPr>
                <w:sz w:val="17"/>
              </w:rPr>
              <w:t xml:space="preserve">Paste to supported browsers: "Sanctioned M365 web apps" = Allow; "Generative AI websites" = Block; "NAS relay services" (URL match) = Block; default for other sites = Block with override. IP-range groups do not support the paste action, so home NAS web UIs by IP fall under the default.</w:t>
            </w:r>
          </w:p>
        </w:tc>
      </w:tr>
      <w:tr>
        <w:tc>
          <w:tcPr>
            <w:tcW w:type="dxa" w:w="1455"/>
          </w:tcPr>
          <w:p>
            <w:pPr>
              <w:pStyle w:val="Compact"/>
              <w:spacing w:after="20" w:before="20"/>
              <w:jc w:val="left"/>
            </w:pPr>
            <w:r>
              <w:rPr>
                <w:bCs/>
                <w:b/>
                <w:sz w:val="17"/>
              </w:rPr>
              <w:t xml:space="preserve">EDLP-05 Tier 1 Audit</w:t>
            </w:r>
          </w:p>
        </w:tc>
        <w:tc>
          <w:tcPr>
            <w:tcW w:type="dxa" w:w="720"/>
          </w:tcPr>
          <w:p>
            <w:pPr>
              <w:pStyle w:val="Compact"/>
              <w:spacing w:after="20" w:before="20"/>
              <w:jc w:val="left"/>
            </w:pPr>
            <w:r>
              <w:rPr>
                <w:sz w:val="17"/>
              </w:rPr>
              <w:t xml:space="preserve">R1</w:t>
            </w:r>
          </w:p>
        </w:tc>
        <w:tc>
          <w:tcPr>
            <w:tcW w:type="dxa" w:w="3781"/>
          </w:tcPr>
          <w:p>
            <w:pPr>
              <w:pStyle w:val="Compact"/>
              <w:spacing w:after="20" w:before="20"/>
              <w:jc w:val="left"/>
            </w:pPr>
            <w:r>
              <w:rPr>
                <w:sz w:val="17"/>
              </w:rPr>
              <w:t xml:space="preserve">Content contains → Sensitivity label ∈ Tier 1 labels</w:t>
            </w:r>
          </w:p>
        </w:tc>
        <w:tc>
          <w:tcPr>
            <w:tcW w:type="dxa" w:w="3909"/>
          </w:tcPr>
          <w:p>
            <w:pPr>
              <w:pStyle w:val="Compact"/>
              <w:spacing w:after="20" w:before="20"/>
              <w:jc w:val="left"/>
            </w:pPr>
            <w:r>
              <w:rPr>
                <w:sz w:val="17"/>
              </w:rPr>
              <w:t xml:space="preserve">All activities = Audit only. No user notification. Feeds baselining.</w:t>
            </w:r>
          </w:p>
        </w:tc>
      </w:tr>
    </w:tbl>
    <w:p>
      <w:pPr>
        <w:pStyle w:val="BodyText"/>
      </w:pPr>
      <w:r>
        <w:t xml:space="preserve">Rule ordering: EDLP-01 before EDLP-02. Enable "stop processing more rules" only after simulation confirms no unintended overlap (it does not work in simulation mode).</w:t>
      </w:r>
    </w:p>
    <w:p>
      <w:pPr>
        <w:pStyle w:val="BodyText"/>
      </w:pPr>
      <w:r>
        <w:rPr>
          <w:bCs/>
          <w:b/>
        </w:rPr>
        <w:t xml:space="preserve">Precedence (verified, added in v0.3).</w:t>
      </w:r>
      <w:r>
        <w:t xml:space="preserve"> </w:t>
      </w:r>
      <w:r>
        <w:t xml:space="preserve">When an item matches several policies with different actions, Endpoint DLP applies the most restrictive action per activity, and "no override" wins over "allow override". An Allow group therefore only helps inside the policy that defines it. Every Devices policy that can match the same file must carry the same Allow groups, or it re-blocks sanctioned destinations (Annex A, RT-08).</w:t>
      </w:r>
    </w:p>
    <w:p>
      <w:pPr>
        <w:pStyle w:val="BodyText"/>
      </w:pPr>
      <w:r>
        <w:t xml:space="preserve">Optional hardening for the label-coverage gap: add a second rule to EDLP-01 and EDLP-02 with condition "Content contains → Sensitive info types</w:t>
      </w:r>
      <w:r>
        <w:t xml:space="preserve"> </w:t>
      </w:r>
      <w:r>
        <w:rPr>
          <w:rStyle w:val="VerbatimChar"/>
        </w:rPr>
        <w:t xml:space="preserve">[TBD]</w:t>
      </w:r>
      <w:r>
        <w:t xml:space="preserve"> </w:t>
      </w:r>
      <w:r>
        <w:t xml:space="preserve">AND Content is not labeled", so highly sensitive content that someone forgot to label is still caught. This increases false positives; evaluate in simulation.</w:t>
      </w:r>
    </w:p>
    <w:bookmarkEnd w:id="49"/>
    <w:bookmarkStart w:id="50" w:name="X68b5005667de9814dcfc58afc38e3faad02b302"/>
    <w:p>
      <w:pPr>
        <w:pStyle w:val="Heading3"/>
      </w:pPr>
      <w:r>
        <w:t xml:space="preserve">7.3 Scoping</w:t>
      </w:r>
    </w:p>
    <w:p>
      <w:pPr>
        <w:pStyle w:val="FirstParagraph"/>
      </w:pPr>
      <w:r>
        <w:t xml:space="preserve">Policies are scoped by users and by devices. A device must be in scope</w:t>
      </w:r>
      <w:r>
        <w:t xml:space="preserve"> </w:t>
      </w:r>
      <w:r>
        <w:rPr>
          <w:iCs/>
          <w:i/>
        </w:rPr>
        <w:t xml:space="preserve">and</w:t>
      </w:r>
      <w:r>
        <w:t xml:space="preserve"> </w:t>
      </w:r>
      <w:r>
        <w:t xml:space="preserve">the user must be in scope for enforcement. Use Entra ID groups:</w:t>
      </w:r>
      <w:r>
        <w:t xml:space="preserve"> </w:t>
      </w:r>
      <w:r>
        <w:rPr>
          <w:rStyle w:val="VerbatimChar"/>
        </w:rPr>
        <w:t xml:space="preserve">[TBD] DLP-Pilot-Users</w:t>
      </w:r>
      <w:r>
        <w:t xml:space="preserve">,</w:t>
      </w:r>
      <w:r>
        <w:t xml:space="preserve"> </w:t>
      </w:r>
      <w:r>
        <w:rPr>
          <w:rStyle w:val="VerbatimChar"/>
        </w:rPr>
        <w:t xml:space="preserve">[TBD] DLP-Ring1-Users</w:t>
      </w:r>
      <w:r>
        <w:t xml:space="preserve">,</w:t>
      </w:r>
      <w:r>
        <w:t xml:space="preserve"> </w:t>
      </w:r>
      <w:r>
        <w:rPr>
          <w:rStyle w:val="VerbatimChar"/>
        </w:rPr>
        <w:t xml:space="preserve">[TBD] DLP-All-Users</w:t>
      </w:r>
      <w:r>
        <w:t xml:space="preserve">, and Defender for Endpoint device groups for device scoping.</w:t>
      </w:r>
    </w:p>
    <w:p>
      <w:pPr>
        <w:pStyle w:val="BodyText"/>
      </w:pPr>
      <w:r>
        <w:rPr>
          <w:bCs/>
          <w:b/>
        </w:rPr>
        <w:t xml:space="preserve">Red-team note.</w:t>
      </w:r>
      <w:r>
        <w:t xml:space="preserve"> </w:t>
      </w:r>
      <w:r>
        <w:t xml:space="preserve">Group-based scoping fails open for any user or device that drops out of the groups, for example a re-imaged laptop that is not yet in its Defender device group. Scope the final ring to all users and all devices, with explicit exclusions. Device and device-group scoping on macOS requires Endpoint DLP client 101.25072 or newer (Annex A, RT-12).</w:t>
      </w:r>
    </w:p>
    <w:p>
      <w:r>
        <w:pict>
          <v:rect style="width:0;height:1.5pt" o:hralign="center" o:hrstd="t" o:hr="t"/>
        </w:pict>
      </w:r>
    </w:p>
    <w:bookmarkEnd w:id="50"/>
    <w:bookmarkEnd w:id="51"/>
    <w:bookmarkStart w:id="59" w:name="Xe2d7cb8986be9ba112d7459f19ea1d3830ce37b"/>
    <w:p>
      <w:pPr>
        <w:pStyle w:val="Heading2"/>
      </w:pPr>
      <w:r>
        <w:t xml:space="preserve">8. Implementation plan</w:t>
      </w:r>
    </w:p>
    <w:p>
      <w:pPr>
        <w:pStyle w:val="FirstParagraph"/>
      </w:pPr>
      <w:r>
        <w:t xml:space="preserve">Durations are indicative for a single tenant with up to a few thousand devices. They stretch if labeling is not yet in place.</w:t>
      </w:r>
    </w:p>
    <w:bookmarkStart w:id="52" w:name="Xd67d5ab738e057cb4ad1f14f87b56aab05bd864"/>
    <w:p>
      <w:pPr>
        <w:pStyle w:val="Heading3"/>
      </w:pPr>
      <w:r>
        <w:t xml:space="preserve">Phase 0: Prerequisites and discovery (2 to 4 weeks)</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720"/>
        <w:gridCol w:w="3757"/>
        <w:gridCol w:w="1770"/>
        <w:gridCol w:w="3618"/>
      </w:tblGrid>
      <w:tr>
        <w:trPr>
          <w:tblHeader w:val="true"/>
          <w:tblHeader w:val="true"/>
        </w:trPr>
        <w:tc>
          <w:tcPr>
            <w:tcW w:type="dxa" w:w="720"/>
            <w:shd w:val="clear" w:color="auto" w:fill="DCE6F1"/>
          </w:tcPr>
          <w:p>
            <w:pPr>
              <w:pStyle w:val="Compact"/>
              <w:spacing w:after="20" w:before="20"/>
              <w:jc w:val="left"/>
            </w:pPr>
            <w:r>
              <w:rPr>
                <w:b/>
                <w:sz w:val="17"/>
              </w:rPr>
              <w:t xml:space="preserve">#</w:t>
            </w:r>
          </w:p>
        </w:tc>
        <w:tc>
          <w:tcPr>
            <w:tcW w:type="dxa" w:w="3757"/>
            <w:shd w:val="clear" w:color="auto" w:fill="DCE6F1"/>
          </w:tcPr>
          <w:p>
            <w:pPr>
              <w:pStyle w:val="Compact"/>
              <w:spacing w:after="20" w:before="20"/>
              <w:jc w:val="left"/>
            </w:pPr>
            <w:r>
              <w:rPr>
                <w:b/>
                <w:sz w:val="17"/>
              </w:rPr>
              <w:t xml:space="preserve">Task</w:t>
            </w:r>
          </w:p>
        </w:tc>
        <w:tc>
          <w:tcPr>
            <w:tcW w:type="dxa" w:w="1770"/>
            <w:shd w:val="clear" w:color="auto" w:fill="DCE6F1"/>
          </w:tcPr>
          <w:p>
            <w:pPr>
              <w:pStyle w:val="Compact"/>
              <w:spacing w:after="20" w:before="20"/>
              <w:jc w:val="left"/>
            </w:pPr>
            <w:r>
              <w:rPr>
                <w:b/>
                <w:sz w:val="17"/>
              </w:rPr>
              <w:t xml:space="preserve">Owner</w:t>
            </w:r>
          </w:p>
        </w:tc>
        <w:tc>
          <w:tcPr>
            <w:tcW w:type="dxa" w:w="3618"/>
            <w:shd w:val="clear" w:color="auto" w:fill="DCE6F1"/>
          </w:tcPr>
          <w:p>
            <w:pPr>
              <w:pStyle w:val="Compact"/>
              <w:spacing w:after="20" w:before="20"/>
              <w:jc w:val="left"/>
            </w:pPr>
            <w:r>
              <w:rPr>
                <w:b/>
                <w:sz w:val="17"/>
              </w:rPr>
              <w:t xml:space="preserve">Exit criterion</w:t>
            </w:r>
          </w:p>
        </w:tc>
      </w:tr>
      <w:tr>
        <w:tc>
          <w:tcPr>
            <w:tcW w:type="dxa" w:w="720"/>
          </w:tcPr>
          <w:p>
            <w:pPr>
              <w:pStyle w:val="Compact"/>
              <w:spacing w:after="20" w:before="20"/>
              <w:jc w:val="left"/>
            </w:pPr>
            <w:r>
              <w:rPr>
                <w:sz w:val="17"/>
              </w:rPr>
              <w:t xml:space="preserve">0.1</w:t>
            </w:r>
          </w:p>
        </w:tc>
        <w:tc>
          <w:tcPr>
            <w:tcW w:type="dxa" w:w="3757"/>
          </w:tcPr>
          <w:p>
            <w:pPr>
              <w:pStyle w:val="Compact"/>
              <w:spacing w:after="20" w:before="20"/>
              <w:jc w:val="left"/>
            </w:pPr>
            <w:r>
              <w:rPr>
                <w:sz w:val="17"/>
              </w:rPr>
              <w:t xml:space="preserve">Confirm licensing for all in-scope users (M365 E5 / E5 Compliance / E5 IP&amp;G; Defender for Cloud Apps)</w:t>
            </w:r>
          </w:p>
        </w:tc>
        <w:tc>
          <w:tcPr>
            <w:tcW w:type="dxa" w:w="1770"/>
          </w:tcPr>
          <w:p>
            <w:pPr>
              <w:pStyle w:val="Compact"/>
              <w:spacing w:after="20" w:before="20"/>
              <w:jc w:val="left"/>
            </w:pPr>
            <w:r>
              <w:rPr>
                <w:sz w:val="17"/>
              </w:rPr>
              <w:t xml:space="preserve">Licensing /</w:t>
            </w:r>
            <w:r>
              <w:rPr>
                <w:sz w:val="17"/>
              </w:rPr>
              <w:t xml:space="preserve"> </w:t>
            </w:r>
            <w:r>
              <w:rPr>
                <w:rStyle w:val="VerbatimChar"/>
                <w:sz w:val="17"/>
              </w:rPr>
              <w:t xml:space="preserve">[TBD]</w:t>
            </w:r>
          </w:p>
        </w:tc>
        <w:tc>
          <w:tcPr>
            <w:tcW w:type="dxa" w:w="3618"/>
          </w:tcPr>
          <w:p>
            <w:pPr>
              <w:pStyle w:val="Compact"/>
              <w:spacing w:after="20" w:before="20"/>
              <w:jc w:val="left"/>
            </w:pPr>
            <w:r>
              <w:rPr>
                <w:sz w:val="17"/>
              </w:rPr>
              <w:t xml:space="preserve">License report attached</w:t>
            </w:r>
          </w:p>
        </w:tc>
      </w:tr>
      <w:tr>
        <w:tc>
          <w:tcPr>
            <w:tcW w:type="dxa" w:w="720"/>
          </w:tcPr>
          <w:p>
            <w:pPr>
              <w:pStyle w:val="Compact"/>
              <w:spacing w:after="20" w:before="20"/>
              <w:jc w:val="left"/>
            </w:pPr>
            <w:r>
              <w:rPr>
                <w:sz w:val="17"/>
              </w:rPr>
              <w:t xml:space="preserve">0.2</w:t>
            </w:r>
          </w:p>
        </w:tc>
        <w:tc>
          <w:tcPr>
            <w:tcW w:type="dxa" w:w="3757"/>
          </w:tcPr>
          <w:p>
            <w:pPr>
              <w:pStyle w:val="Compact"/>
              <w:spacing w:after="20" w:before="20"/>
              <w:jc w:val="left"/>
            </w:pPr>
            <w:r>
              <w:rPr>
                <w:sz w:val="17"/>
              </w:rPr>
              <w:t xml:space="preserve">Confirm device onboarding: all Windows/macOS devices appear in Purview → Settings → Device onboarding, status healthy; turn on device monitoring</w:t>
            </w:r>
          </w:p>
        </w:tc>
        <w:tc>
          <w:tcPr>
            <w:tcW w:type="dxa" w:w="1770"/>
          </w:tcPr>
          <w:p>
            <w:pPr>
              <w:pStyle w:val="Compact"/>
              <w:spacing w:after="20" w:before="20"/>
              <w:jc w:val="left"/>
            </w:pPr>
            <w:r>
              <w:rPr>
                <w:sz w:val="17"/>
              </w:rPr>
              <w:t xml:space="preserve">Endpoint team</w:t>
            </w:r>
          </w:p>
        </w:tc>
        <w:tc>
          <w:tcPr>
            <w:tcW w:type="dxa" w:w="3618"/>
          </w:tcPr>
          <w:p>
            <w:pPr>
              <w:pStyle w:val="Compact"/>
              <w:spacing w:after="20" w:before="20"/>
              <w:jc w:val="left"/>
            </w:pPr>
            <w:r>
              <w:rPr>
                <w:sz w:val="17"/>
              </w:rPr>
              <w:t xml:space="preserve">≥ 98 % of in-scope devices onboarded</w:t>
            </w:r>
          </w:p>
        </w:tc>
      </w:tr>
      <w:tr>
        <w:tc>
          <w:tcPr>
            <w:tcW w:type="dxa" w:w="720"/>
          </w:tcPr>
          <w:p>
            <w:pPr>
              <w:pStyle w:val="Compact"/>
              <w:spacing w:after="20" w:before="20"/>
              <w:jc w:val="left"/>
            </w:pPr>
            <w:r>
              <w:rPr>
                <w:sz w:val="17"/>
              </w:rPr>
              <w:t xml:space="preserve">0.3</w:t>
            </w:r>
          </w:p>
        </w:tc>
        <w:tc>
          <w:tcPr>
            <w:tcW w:type="dxa" w:w="3757"/>
          </w:tcPr>
          <w:p>
            <w:pPr>
              <w:pStyle w:val="Compact"/>
              <w:spacing w:after="20" w:before="20"/>
              <w:jc w:val="left"/>
            </w:pPr>
            <w:r>
              <w:rPr>
                <w:sz w:val="17"/>
              </w:rPr>
              <w:t xml:space="preserve">Verify Windows build and Defender platform version are current and supported for network share groups, network share coverage, and paste to browser (the KB minimums in Microsoft Learn date from 2022 and 2023 and are superseded)</w:t>
            </w:r>
          </w:p>
        </w:tc>
        <w:tc>
          <w:tcPr>
            <w:tcW w:type="dxa" w:w="1770"/>
          </w:tcPr>
          <w:p>
            <w:pPr>
              <w:pStyle w:val="Compact"/>
              <w:spacing w:after="20" w:before="20"/>
              <w:jc w:val="left"/>
            </w:pPr>
            <w:r>
              <w:rPr>
                <w:sz w:val="17"/>
              </w:rPr>
              <w:t xml:space="preserve">Endpoint team</w:t>
            </w:r>
          </w:p>
        </w:tc>
        <w:tc>
          <w:tcPr>
            <w:tcW w:type="dxa" w:w="3618"/>
          </w:tcPr>
          <w:p>
            <w:pPr>
              <w:pStyle w:val="Compact"/>
              <w:spacing w:after="20" w:before="20"/>
              <w:jc w:val="left"/>
            </w:pPr>
            <w:r>
              <w:rPr>
                <w:sz w:val="17"/>
              </w:rPr>
              <w:t xml:space="preserve">Compliance report from Intune</w:t>
            </w:r>
          </w:p>
        </w:tc>
      </w:tr>
      <w:tr>
        <w:tc>
          <w:tcPr>
            <w:tcW w:type="dxa" w:w="720"/>
          </w:tcPr>
          <w:p>
            <w:pPr>
              <w:pStyle w:val="Compact"/>
              <w:spacing w:after="20" w:before="20"/>
              <w:jc w:val="left"/>
            </w:pPr>
            <w:r>
              <w:rPr>
                <w:sz w:val="17"/>
              </w:rPr>
              <w:t xml:space="preserve">0.4</w:t>
            </w:r>
          </w:p>
        </w:tc>
        <w:tc>
          <w:tcPr>
            <w:tcW w:type="dxa" w:w="3757"/>
          </w:tcPr>
          <w:p>
            <w:pPr>
              <w:pStyle w:val="Compact"/>
              <w:spacing w:after="20" w:before="20"/>
              <w:jc w:val="left"/>
            </w:pPr>
            <w:r>
              <w:rPr>
                <w:sz w:val="17"/>
              </w:rPr>
              <w:t xml:space="preserve">Deploy the Microsoft Purview extension for Chrome and Firefox on Windows via Intune/GPO, force-installed and non-removable; decide whether to list other browsers as unallowed</w:t>
            </w:r>
          </w:p>
        </w:tc>
        <w:tc>
          <w:tcPr>
            <w:tcW w:type="dxa" w:w="1770"/>
          </w:tcPr>
          <w:p>
            <w:pPr>
              <w:pStyle w:val="Compact"/>
              <w:spacing w:after="20" w:before="20"/>
              <w:jc w:val="left"/>
            </w:pPr>
            <w:r>
              <w:rPr>
                <w:sz w:val="17"/>
              </w:rPr>
              <w:t xml:space="preserve">Endpoint team</w:t>
            </w:r>
          </w:p>
        </w:tc>
        <w:tc>
          <w:tcPr>
            <w:tcW w:type="dxa" w:w="3618"/>
          </w:tcPr>
          <w:p>
            <w:pPr>
              <w:pStyle w:val="Compact"/>
              <w:spacing w:after="20" w:before="20"/>
              <w:jc w:val="left"/>
            </w:pPr>
            <w:r>
              <w:rPr>
                <w:sz w:val="17"/>
              </w:rPr>
              <w:t xml:space="preserve">Extension present on 100 % of pilot devices</w:t>
            </w:r>
          </w:p>
        </w:tc>
      </w:tr>
      <w:tr>
        <w:tc>
          <w:tcPr>
            <w:tcW w:type="dxa" w:w="720"/>
          </w:tcPr>
          <w:p>
            <w:pPr>
              <w:pStyle w:val="Compact"/>
              <w:spacing w:after="20" w:before="20"/>
              <w:jc w:val="left"/>
            </w:pPr>
            <w:r>
              <w:rPr>
                <w:sz w:val="17"/>
              </w:rPr>
              <w:t xml:space="preserve">0.5</w:t>
            </w:r>
          </w:p>
        </w:tc>
        <w:tc>
          <w:tcPr>
            <w:tcW w:type="dxa" w:w="3757"/>
          </w:tcPr>
          <w:p>
            <w:pPr>
              <w:pStyle w:val="Compact"/>
              <w:spacing w:after="20" w:before="20"/>
              <w:jc w:val="left"/>
            </w:pPr>
            <w:r>
              <w:rPr>
                <w:sz w:val="17"/>
              </w:rPr>
              <w:t xml:space="preserve">Document the sensitivity label taxonomy and map labels to tiers (4.1)</w:t>
            </w:r>
          </w:p>
        </w:tc>
        <w:tc>
          <w:tcPr>
            <w:tcW w:type="dxa" w:w="1770"/>
          </w:tcPr>
          <w:p>
            <w:pPr>
              <w:pStyle w:val="Compact"/>
              <w:spacing w:after="20" w:before="20"/>
              <w:jc w:val="left"/>
            </w:pPr>
            <w:r>
              <w:rPr>
                <w:sz w:val="17"/>
              </w:rPr>
              <w:t xml:space="preserve">Information protection owner</w:t>
            </w:r>
          </w:p>
        </w:tc>
        <w:tc>
          <w:tcPr>
            <w:tcW w:type="dxa" w:w="3618"/>
          </w:tcPr>
          <w:p>
            <w:pPr>
              <w:pStyle w:val="Compact"/>
              <w:spacing w:after="20" w:before="20"/>
              <w:jc w:val="left"/>
            </w:pPr>
            <w:r>
              <w:rPr>
                <w:sz w:val="17"/>
              </w:rPr>
              <w:t xml:space="preserve">Table 4.1 complete</w:t>
            </w:r>
          </w:p>
        </w:tc>
      </w:tr>
      <w:tr>
        <w:tc>
          <w:tcPr>
            <w:tcW w:type="dxa" w:w="720"/>
          </w:tcPr>
          <w:p>
            <w:pPr>
              <w:pStyle w:val="Compact"/>
              <w:spacing w:after="20" w:before="20"/>
              <w:jc w:val="left"/>
            </w:pPr>
            <w:r>
              <w:rPr>
                <w:sz w:val="17"/>
              </w:rPr>
              <w:t xml:space="preserve">0.6</w:t>
            </w:r>
          </w:p>
        </w:tc>
        <w:tc>
          <w:tcPr>
            <w:tcW w:type="dxa" w:w="3757"/>
          </w:tcPr>
          <w:p>
            <w:pPr>
              <w:pStyle w:val="Compact"/>
              <w:spacing w:after="20" w:before="20"/>
              <w:jc w:val="left"/>
            </w:pPr>
            <w:r>
              <w:rPr>
                <w:sz w:val="17"/>
              </w:rPr>
              <w:t xml:space="preserve">Measure labeling coverage (Content explorer, Activity explorer): what share of Office/PDF files on endpoints carry a label</w:t>
            </w:r>
          </w:p>
        </w:tc>
        <w:tc>
          <w:tcPr>
            <w:tcW w:type="dxa" w:w="1770"/>
          </w:tcPr>
          <w:p>
            <w:pPr>
              <w:pStyle w:val="Compact"/>
              <w:spacing w:after="20" w:before="20"/>
              <w:jc w:val="left"/>
            </w:pPr>
            <w:r>
              <w:rPr>
                <w:sz w:val="17"/>
              </w:rPr>
              <w:t xml:space="preserve">Information protection owner</w:t>
            </w:r>
          </w:p>
        </w:tc>
        <w:tc>
          <w:tcPr>
            <w:tcW w:type="dxa" w:w="3618"/>
          </w:tcPr>
          <w:p>
            <w:pPr>
              <w:pStyle w:val="Compact"/>
              <w:spacing w:after="20" w:before="20"/>
              <w:jc w:val="left"/>
            </w:pPr>
            <w:r>
              <w:rPr>
                <w:sz w:val="17"/>
              </w:rPr>
              <w:t xml:space="preserve">Coverage figure recorded; default-label and auto-label gaps listed</w:t>
            </w:r>
          </w:p>
        </w:tc>
      </w:tr>
      <w:tr>
        <w:tc>
          <w:tcPr>
            <w:tcW w:type="dxa" w:w="720"/>
          </w:tcPr>
          <w:p>
            <w:pPr>
              <w:pStyle w:val="Compact"/>
              <w:spacing w:after="20" w:before="20"/>
              <w:jc w:val="left"/>
            </w:pPr>
            <w:r>
              <w:rPr>
                <w:sz w:val="17"/>
              </w:rPr>
              <w:t xml:space="preserve">0.7</w:t>
            </w:r>
          </w:p>
        </w:tc>
        <w:tc>
          <w:tcPr>
            <w:tcW w:type="dxa" w:w="3757"/>
          </w:tcPr>
          <w:p>
            <w:pPr>
              <w:pStyle w:val="Compact"/>
              <w:spacing w:after="20" w:before="20"/>
              <w:jc w:val="left"/>
            </w:pPr>
            <w:r>
              <w:rPr>
                <w:sz w:val="17"/>
              </w:rPr>
              <w:t xml:space="preserve">Inventory corporate file servers still reached from managed devices (hostnames, UNC prefixes, owner). Decide whether any are sanctioned, or whether the group stays empty</w:t>
            </w:r>
          </w:p>
        </w:tc>
        <w:tc>
          <w:tcPr>
            <w:tcW w:type="dxa" w:w="1770"/>
          </w:tcPr>
          <w:p>
            <w:pPr>
              <w:pStyle w:val="Compact"/>
              <w:spacing w:after="20" w:before="20"/>
              <w:jc w:val="left"/>
            </w:pPr>
            <w:r>
              <w:rPr>
                <w:sz w:val="17"/>
              </w:rPr>
              <w:t xml:space="preserve">Infrastructure team + security</w:t>
            </w:r>
          </w:p>
        </w:tc>
        <w:tc>
          <w:tcPr>
            <w:tcW w:type="dxa" w:w="3618"/>
          </w:tcPr>
          <w:p>
            <w:pPr>
              <w:pStyle w:val="Compact"/>
              <w:spacing w:after="20" w:before="20"/>
              <w:jc w:val="left"/>
            </w:pPr>
            <w:r>
              <w:rPr>
                <w:sz w:val="17"/>
              </w:rPr>
              <w:t xml:space="preserve">Table 4.3 complete or declared empty</w:t>
            </w:r>
          </w:p>
        </w:tc>
      </w:tr>
      <w:tr>
        <w:tc>
          <w:tcPr>
            <w:tcW w:type="dxa" w:w="720"/>
          </w:tcPr>
          <w:p>
            <w:pPr>
              <w:pStyle w:val="Compact"/>
              <w:spacing w:after="20" w:before="20"/>
              <w:jc w:val="left"/>
            </w:pPr>
            <w:r>
              <w:rPr>
                <w:sz w:val="17"/>
              </w:rPr>
              <w:t xml:space="preserve">0.8</w:t>
            </w:r>
          </w:p>
        </w:tc>
        <w:tc>
          <w:tcPr>
            <w:tcW w:type="dxa" w:w="3757"/>
          </w:tcPr>
          <w:p>
            <w:pPr>
              <w:pStyle w:val="Compact"/>
              <w:spacing w:after="20" w:before="20"/>
              <w:jc w:val="left"/>
            </w:pPr>
            <w:r>
              <w:rPr>
                <w:sz w:val="17"/>
              </w:rPr>
              <w:t xml:space="preserve">Measure the baseline of home NAS exposure: Defender for Endpoint advanced hunting on</w:t>
            </w:r>
            <w:r>
              <w:rPr>
                <w:sz w:val="17"/>
              </w:rPr>
              <w:t xml:space="preserve"> </w:t>
            </w:r>
            <w:r>
              <w:rPr>
                <w:rStyle w:val="VerbatimChar"/>
                <w:sz w:val="17"/>
              </w:rPr>
              <w:t xml:space="preserve">DeviceNetworkEvents</w:t>
            </w:r>
            <w:r>
              <w:rPr>
                <w:sz w:val="17"/>
              </w:rPr>
              <w:t xml:space="preserve"> </w:t>
            </w:r>
            <w:r>
              <w:rPr>
                <w:sz w:val="17"/>
              </w:rPr>
              <w:t xml:space="preserve">for SMB (445), NAS web UI ports (5000/5001, 8080/8443), FTP (21/22) to RFC1918 addresses while off the corporate network, and</w:t>
            </w:r>
            <w:r>
              <w:rPr>
                <w:sz w:val="17"/>
              </w:rPr>
              <w:t xml:space="preserve"> </w:t>
            </w:r>
            <w:r>
              <w:rPr>
                <w:rStyle w:val="VerbatimChar"/>
                <w:sz w:val="17"/>
              </w:rPr>
              <w:t xml:space="preserve">DeviceFileEvents</w:t>
            </w:r>
            <w:r>
              <w:rPr>
                <w:sz w:val="17"/>
              </w:rPr>
              <w:t xml:space="preserve"> </w:t>
            </w:r>
            <w:r>
              <w:rPr>
                <w:sz w:val="17"/>
              </w:rPr>
              <w:t xml:space="preserve">writes to UNC paths; Activity explorer "Copy to a network share" events once device monitoring is on. This quantifies the problem before any policy exists and gives the works council concrete figures</w:t>
            </w:r>
          </w:p>
        </w:tc>
        <w:tc>
          <w:tcPr>
            <w:tcW w:type="dxa" w:w="1770"/>
          </w:tcPr>
          <w:p>
            <w:pPr>
              <w:pStyle w:val="Compact"/>
              <w:spacing w:after="20" w:before="20"/>
              <w:jc w:val="left"/>
            </w:pPr>
            <w:r>
              <w:rPr>
                <w:sz w:val="17"/>
              </w:rPr>
              <w:t xml:space="preserve">Security</w:t>
            </w:r>
          </w:p>
        </w:tc>
        <w:tc>
          <w:tcPr>
            <w:tcW w:type="dxa" w:w="3618"/>
          </w:tcPr>
          <w:p>
            <w:pPr>
              <w:pStyle w:val="Compact"/>
              <w:spacing w:after="20" w:before="20"/>
              <w:jc w:val="left"/>
            </w:pPr>
            <w:r>
              <w:rPr>
                <w:sz w:val="17"/>
              </w:rPr>
              <w:t xml:space="preserve">Baseline report with user and device counts (aggregated, not individual, for the works council)</w:t>
            </w:r>
          </w:p>
        </w:tc>
      </w:tr>
      <w:tr>
        <w:tc>
          <w:tcPr>
            <w:tcW w:type="dxa" w:w="720"/>
          </w:tcPr>
          <w:p>
            <w:pPr>
              <w:pStyle w:val="Compact"/>
              <w:spacing w:after="20" w:before="20"/>
              <w:jc w:val="left"/>
            </w:pPr>
            <w:r>
              <w:rPr>
                <w:sz w:val="17"/>
              </w:rPr>
              <w:t xml:space="preserve">0.9</w:t>
            </w:r>
          </w:p>
        </w:tc>
        <w:tc>
          <w:tcPr>
            <w:tcW w:type="dxa" w:w="3757"/>
          </w:tcPr>
          <w:p>
            <w:pPr>
              <w:pStyle w:val="Compact"/>
              <w:spacing w:after="20" w:before="20"/>
              <w:jc w:val="left"/>
            </w:pPr>
            <w:r>
              <w:rPr>
                <w:sz w:val="17"/>
              </w:rPr>
              <w:t xml:space="preserve">Inventory cloud storage and NAS relay use: enable Defender for Cloud Apps Cloud Discovery fed by Defender for Endpoint; list discovered storage apps and relay services (QuickConnect, myQNAPcloud, etc.) with user counts</w:t>
            </w:r>
          </w:p>
        </w:tc>
        <w:tc>
          <w:tcPr>
            <w:tcW w:type="dxa" w:w="1770"/>
          </w:tcPr>
          <w:p>
            <w:pPr>
              <w:pStyle w:val="Compact"/>
              <w:spacing w:after="20" w:before="20"/>
              <w:jc w:val="left"/>
            </w:pPr>
            <w:r>
              <w:rPr>
                <w:sz w:val="17"/>
              </w:rPr>
              <w:t xml:space="preserve">Security</w:t>
            </w:r>
          </w:p>
        </w:tc>
        <w:tc>
          <w:tcPr>
            <w:tcW w:type="dxa" w:w="3618"/>
          </w:tcPr>
          <w:p>
            <w:pPr>
              <w:pStyle w:val="Compact"/>
              <w:spacing w:after="20" w:before="20"/>
              <w:jc w:val="left"/>
            </w:pPr>
            <w:r>
              <w:rPr>
                <w:sz w:val="17"/>
              </w:rPr>
              <w:t xml:space="preserve">Shadow IT report; sanction/unsanction decisions recorded; table 4.5 relay list confirmed</w:t>
            </w:r>
          </w:p>
        </w:tc>
      </w:tr>
      <w:tr>
        <w:tc>
          <w:tcPr>
            <w:tcW w:type="dxa" w:w="720"/>
          </w:tcPr>
          <w:p>
            <w:pPr>
              <w:pStyle w:val="Compact"/>
              <w:spacing w:after="20" w:before="20"/>
              <w:jc w:val="left"/>
            </w:pPr>
            <w:r>
              <w:rPr>
                <w:sz w:val="17"/>
              </w:rPr>
              <w:t xml:space="preserve">0.10</w:t>
            </w:r>
          </w:p>
        </w:tc>
        <w:tc>
          <w:tcPr>
            <w:tcW w:type="dxa" w:w="3757"/>
          </w:tcPr>
          <w:p>
            <w:pPr>
              <w:pStyle w:val="Compact"/>
              <w:spacing w:after="20" w:before="20"/>
              <w:jc w:val="left"/>
            </w:pPr>
            <w:r>
              <w:rPr>
                <w:sz w:val="17"/>
              </w:rPr>
              <w:t xml:space="preserve">Inventory desktop sync clients and NAS backup agents (Defender for Endpoint software inventory); confirm exact executable names and macOS paths</w:t>
            </w:r>
          </w:p>
        </w:tc>
        <w:tc>
          <w:tcPr>
            <w:tcW w:type="dxa" w:w="1770"/>
          </w:tcPr>
          <w:p>
            <w:pPr>
              <w:pStyle w:val="Compact"/>
              <w:spacing w:after="20" w:before="20"/>
              <w:jc w:val="left"/>
            </w:pPr>
            <w:r>
              <w:rPr>
                <w:sz w:val="17"/>
              </w:rPr>
              <w:t xml:space="preserve">Endpoint team</w:t>
            </w:r>
          </w:p>
        </w:tc>
        <w:tc>
          <w:tcPr>
            <w:tcW w:type="dxa" w:w="3618"/>
          </w:tcPr>
          <w:p>
            <w:pPr>
              <w:pStyle w:val="Compact"/>
              <w:spacing w:after="20" w:before="20"/>
              <w:jc w:val="left"/>
            </w:pPr>
            <w:r>
              <w:rPr>
                <w:sz w:val="17"/>
              </w:rPr>
              <w:t xml:space="preserve">Table 4.5 app group complete</w:t>
            </w:r>
          </w:p>
        </w:tc>
      </w:tr>
      <w:tr>
        <w:tc>
          <w:tcPr>
            <w:tcW w:type="dxa" w:w="720"/>
          </w:tcPr>
          <w:p>
            <w:pPr>
              <w:pStyle w:val="Compact"/>
              <w:spacing w:after="20" w:before="20"/>
              <w:jc w:val="left"/>
            </w:pPr>
            <w:r>
              <w:rPr>
                <w:sz w:val="17"/>
              </w:rPr>
              <w:t xml:space="preserve">0.11</w:t>
            </w:r>
          </w:p>
        </w:tc>
        <w:tc>
          <w:tcPr>
            <w:tcW w:type="dxa" w:w="3757"/>
          </w:tcPr>
          <w:p>
            <w:pPr>
              <w:pStyle w:val="Compact"/>
              <w:spacing w:after="20" w:before="20"/>
              <w:jc w:val="left"/>
            </w:pPr>
            <w:r>
              <w:rPr>
                <w:sz w:val="17"/>
              </w:rPr>
              <w:t xml:space="preserve">Confirm MDM controls for UC-13: Time Machine destination restriction (macOS), File History / Windows Backup to network disabled (Windows), application control for sync and backup clients</w:t>
            </w:r>
          </w:p>
        </w:tc>
        <w:tc>
          <w:tcPr>
            <w:tcW w:type="dxa" w:w="1770"/>
          </w:tcPr>
          <w:p>
            <w:pPr>
              <w:pStyle w:val="Compact"/>
              <w:spacing w:after="20" w:before="20"/>
              <w:jc w:val="left"/>
            </w:pPr>
            <w:r>
              <w:rPr>
                <w:sz w:val="17"/>
              </w:rPr>
              <w:t xml:space="preserve">Endpoint team</w:t>
            </w:r>
          </w:p>
        </w:tc>
        <w:tc>
          <w:tcPr>
            <w:tcW w:type="dxa" w:w="3618"/>
          </w:tcPr>
          <w:p>
            <w:pPr>
              <w:pStyle w:val="Compact"/>
              <w:spacing w:after="20" w:before="20"/>
              <w:jc w:val="left"/>
            </w:pPr>
            <w:r>
              <w:rPr>
                <w:sz w:val="17"/>
              </w:rPr>
              <w:t xml:space="preserve">Intune/Jamf profiles drafted</w:t>
            </w:r>
          </w:p>
        </w:tc>
      </w:tr>
      <w:tr>
        <w:tc>
          <w:tcPr>
            <w:tcW w:type="dxa" w:w="720"/>
          </w:tcPr>
          <w:p>
            <w:pPr>
              <w:pStyle w:val="Compact"/>
              <w:spacing w:after="20" w:before="20"/>
              <w:jc w:val="left"/>
            </w:pPr>
            <w:r>
              <w:rPr>
                <w:sz w:val="17"/>
              </w:rPr>
              <w:t xml:space="preserve">0.12</w:t>
            </w:r>
          </w:p>
        </w:tc>
        <w:tc>
          <w:tcPr>
            <w:tcW w:type="dxa" w:w="3757"/>
          </w:tcPr>
          <w:p>
            <w:pPr>
              <w:pStyle w:val="Compact"/>
              <w:spacing w:after="20" w:before="20"/>
              <w:jc w:val="left"/>
            </w:pPr>
            <w:r>
              <w:rPr>
                <w:sz w:val="17"/>
              </w:rPr>
              <w:t xml:space="preserve">Start works council (Betriebsrat) and data protection officer consultation: purpose, data collected, retention, who sees what, evidence collection scope, override justification handling. Obtain agreement (Betriebsvereinbarung or equivalent) before simulation with policy tips starts</w:t>
            </w:r>
          </w:p>
        </w:tc>
        <w:tc>
          <w:tcPr>
            <w:tcW w:type="dxa" w:w="1770"/>
          </w:tcPr>
          <w:p>
            <w:pPr>
              <w:pStyle w:val="Compact"/>
              <w:spacing w:after="20" w:before="20"/>
              <w:jc w:val="left"/>
            </w:pPr>
            <w:r>
              <w:rPr>
                <w:sz w:val="17"/>
              </w:rPr>
              <w:t xml:space="preserve">HR + legal + security</w:t>
            </w:r>
          </w:p>
        </w:tc>
        <w:tc>
          <w:tcPr>
            <w:tcW w:type="dxa" w:w="3618"/>
          </w:tcPr>
          <w:p>
            <w:pPr>
              <w:pStyle w:val="Compact"/>
              <w:spacing w:after="20" w:before="20"/>
              <w:jc w:val="left"/>
            </w:pPr>
            <w:r>
              <w:rPr>
                <w:sz w:val="17"/>
              </w:rPr>
              <w:t xml:space="preserve">Written agreement or documented decision</w:t>
            </w:r>
          </w:p>
        </w:tc>
      </w:tr>
      <w:tr>
        <w:tc>
          <w:tcPr>
            <w:tcW w:type="dxa" w:w="720"/>
          </w:tcPr>
          <w:p>
            <w:pPr>
              <w:pStyle w:val="Compact"/>
              <w:spacing w:after="20" w:before="20"/>
              <w:jc w:val="left"/>
            </w:pPr>
            <w:r>
              <w:rPr>
                <w:sz w:val="17"/>
              </w:rPr>
              <w:t xml:space="preserve">0.13</w:t>
            </w:r>
          </w:p>
        </w:tc>
        <w:tc>
          <w:tcPr>
            <w:tcW w:type="dxa" w:w="3757"/>
          </w:tcPr>
          <w:p>
            <w:pPr>
              <w:pStyle w:val="Compact"/>
              <w:spacing w:after="20" w:before="20"/>
              <w:jc w:val="left"/>
            </w:pPr>
            <w:r>
              <w:rPr>
                <w:sz w:val="17"/>
              </w:rPr>
              <w:t xml:space="preserve">Define the sensitive information types for UC-08 and the optional unlabeled-content rule (for a bank: IBAN, credit card, German tax ID, customer numbers via custom SIT or Exact Data Match)</w:t>
            </w:r>
          </w:p>
        </w:tc>
        <w:tc>
          <w:tcPr>
            <w:tcW w:type="dxa" w:w="1770"/>
          </w:tcPr>
          <w:p>
            <w:pPr>
              <w:pStyle w:val="Compact"/>
              <w:spacing w:after="20" w:before="20"/>
              <w:jc w:val="left"/>
            </w:pPr>
            <w:r>
              <w:rPr>
                <w:sz w:val="17"/>
              </w:rPr>
              <w:t xml:space="preserve">Information protection owner</w:t>
            </w:r>
          </w:p>
        </w:tc>
        <w:tc>
          <w:tcPr>
            <w:tcW w:type="dxa" w:w="3618"/>
          </w:tcPr>
          <w:p>
            <w:pPr>
              <w:pStyle w:val="Compact"/>
              <w:spacing w:after="20" w:before="20"/>
              <w:jc w:val="left"/>
            </w:pPr>
            <w:r>
              <w:rPr>
                <w:sz w:val="17"/>
              </w:rPr>
              <w:t xml:space="preserve">SIT list agreed</w:t>
            </w:r>
          </w:p>
        </w:tc>
      </w:tr>
      <w:tr>
        <w:tc>
          <w:tcPr>
            <w:tcW w:type="dxa" w:w="720"/>
          </w:tcPr>
          <w:p>
            <w:pPr>
              <w:pStyle w:val="Compact"/>
              <w:spacing w:after="20" w:before="20"/>
              <w:jc w:val="left"/>
            </w:pPr>
            <w:r>
              <w:rPr>
                <w:sz w:val="17"/>
              </w:rPr>
              <w:t xml:space="preserve">0.14</w:t>
            </w:r>
          </w:p>
        </w:tc>
        <w:tc>
          <w:tcPr>
            <w:tcW w:type="dxa" w:w="3757"/>
          </w:tcPr>
          <w:p>
            <w:pPr>
              <w:pStyle w:val="Compact"/>
              <w:spacing w:after="20" w:before="20"/>
              <w:jc w:val="left"/>
            </w:pPr>
            <w:r>
              <w:rPr>
                <w:sz w:val="17"/>
              </w:rPr>
              <w:t xml:space="preserve">Agree override policy, justification options, exception process, and who reviews overrides</w:t>
            </w:r>
          </w:p>
        </w:tc>
        <w:tc>
          <w:tcPr>
            <w:tcW w:type="dxa" w:w="1770"/>
          </w:tcPr>
          <w:p>
            <w:pPr>
              <w:pStyle w:val="Compact"/>
              <w:spacing w:after="20" w:before="20"/>
              <w:jc w:val="left"/>
            </w:pPr>
            <w:r>
              <w:rPr>
                <w:sz w:val="17"/>
              </w:rPr>
              <w:t xml:space="preserve">Security + HR/legal</w:t>
            </w:r>
          </w:p>
        </w:tc>
        <w:tc>
          <w:tcPr>
            <w:tcW w:type="dxa" w:w="3618"/>
          </w:tcPr>
          <w:p>
            <w:pPr>
              <w:pStyle w:val="Compact"/>
              <w:spacing w:after="20" w:before="20"/>
              <w:jc w:val="left"/>
            </w:pPr>
            <w:r>
              <w:rPr>
                <w:sz w:val="17"/>
              </w:rPr>
              <w:t xml:space="preserve">Written process</w:t>
            </w:r>
          </w:p>
        </w:tc>
      </w:tr>
      <w:tr>
        <w:tc>
          <w:tcPr>
            <w:tcW w:type="dxa" w:w="720"/>
          </w:tcPr>
          <w:p>
            <w:pPr>
              <w:pStyle w:val="Compact"/>
              <w:spacing w:after="20" w:before="20"/>
              <w:jc w:val="left"/>
            </w:pPr>
            <w:r>
              <w:rPr>
                <w:sz w:val="17"/>
              </w:rPr>
              <w:t xml:space="preserve">0.15</w:t>
            </w:r>
          </w:p>
        </w:tc>
        <w:tc>
          <w:tcPr>
            <w:tcW w:type="dxa" w:w="3757"/>
          </w:tcPr>
          <w:p>
            <w:pPr>
              <w:pStyle w:val="Compact"/>
              <w:spacing w:after="20" w:before="20"/>
              <w:jc w:val="left"/>
            </w:pPr>
            <w:r>
              <w:rPr>
                <w:sz w:val="17"/>
              </w:rPr>
              <w:t xml:space="preserve">Agree evidence collection, retention, and privacy notice (GDPR Art. 13 information to employees)</w:t>
            </w:r>
          </w:p>
        </w:tc>
        <w:tc>
          <w:tcPr>
            <w:tcW w:type="dxa" w:w="1770"/>
          </w:tcPr>
          <w:p>
            <w:pPr>
              <w:pStyle w:val="Compact"/>
              <w:spacing w:after="20" w:before="20"/>
              <w:jc w:val="left"/>
            </w:pPr>
            <w:r>
              <w:rPr>
                <w:sz w:val="17"/>
              </w:rPr>
              <w:t xml:space="preserve">Legal + DPO</w:t>
            </w:r>
          </w:p>
        </w:tc>
        <w:tc>
          <w:tcPr>
            <w:tcW w:type="dxa" w:w="3618"/>
          </w:tcPr>
          <w:p>
            <w:pPr>
              <w:pStyle w:val="Compact"/>
              <w:spacing w:after="20" w:before="20"/>
              <w:jc w:val="left"/>
            </w:pPr>
            <w:r>
              <w:rPr>
                <w:sz w:val="17"/>
              </w:rPr>
              <w:t xml:space="preserve">Decision recorded</w:t>
            </w:r>
          </w:p>
        </w:tc>
      </w:tr>
    </w:tbl>
    <w:bookmarkEnd w:id="52"/>
    <w:bookmarkStart w:id="53" w:name="phase-1-design-sign-off-1-week"/>
    <w:p>
      <w:pPr>
        <w:pStyle w:val="Heading3"/>
      </w:pPr>
      <w:r>
        <w:t xml:space="preserve">Phase 1: Design sign-off (1 week)</w:t>
      </w:r>
    </w:p>
    <w:p>
      <w:pPr>
        <w:numPr>
          <w:ilvl w:val="0"/>
          <w:numId w:val="1017"/>
        </w:numPr>
        <w:pStyle w:val="Compact"/>
      </w:pPr>
      <w:r>
        <w:t xml:space="preserve">Review this document with all</w:t>
      </w:r>
      <w:r>
        <w:t xml:space="preserve"> </w:t>
      </w:r>
      <w:r>
        <w:rPr>
          <w:rStyle w:val="VerbatimChar"/>
        </w:rPr>
        <w:t xml:space="preserve">[TBD]</w:t>
      </w:r>
      <w:r>
        <w:t xml:space="preserve"> </w:t>
      </w:r>
      <w:r>
        <w:t xml:space="preserve">fields filled.</w:t>
      </w:r>
    </w:p>
    <w:p>
      <w:pPr>
        <w:numPr>
          <w:ilvl w:val="0"/>
          <w:numId w:val="1017"/>
        </w:numPr>
        <w:pStyle w:val="Compact"/>
      </w:pPr>
      <w:r>
        <w:t xml:space="preserve">Confirm tier actions (4.1), the Allow-mode decision for service domains, and the optional extra activities (section 6).</w:t>
      </w:r>
    </w:p>
    <w:p>
      <w:pPr>
        <w:numPr>
          <w:ilvl w:val="0"/>
          <w:numId w:val="1017"/>
        </w:numPr>
        <w:pStyle w:val="Compact"/>
      </w:pPr>
      <w:r>
        <w:t xml:space="preserve">Confirm pilot group (10 to 30 home-office users across departments, including at least two Mac users, and ideally some who are known from the Phase 0 baseline to have a NAS at home) and rollout rings.</w:t>
      </w:r>
    </w:p>
    <w:p>
      <w:pPr>
        <w:numPr>
          <w:ilvl w:val="0"/>
          <w:numId w:val="1017"/>
        </w:numPr>
        <w:pStyle w:val="Compact"/>
      </w:pPr>
      <w:r>
        <w:t xml:space="preserve">Build a lab "home network": a consumer router, one Synology or QNAP device with SMB, web UI, FTP, QuickConnect-style relay, and Time Machine enabled, and the vendor sync client. All test-pack cases run against it.</w:t>
      </w:r>
    </w:p>
    <w:p>
      <w:pPr>
        <w:numPr>
          <w:ilvl w:val="0"/>
          <w:numId w:val="1017"/>
        </w:numPr>
        <w:pStyle w:val="Compact"/>
      </w:pPr>
      <w:r>
        <w:t xml:space="preserve">Sign-off by</w:t>
      </w:r>
      <w:r>
        <w:t xml:space="preserve"> </w:t>
      </w:r>
      <w:r>
        <w:rPr>
          <w:rStyle w:val="VerbatimChar"/>
        </w:rPr>
        <w:t xml:space="preserve">[TBD]</w:t>
      </w:r>
      <w:r>
        <w:t xml:space="preserve"> </w:t>
      </w:r>
      <w:r>
        <w:t xml:space="preserve">security owner and</w:t>
      </w:r>
      <w:r>
        <w:t xml:space="preserve"> </w:t>
      </w:r>
      <w:r>
        <w:rPr>
          <w:rStyle w:val="VerbatimChar"/>
        </w:rPr>
        <w:t xml:space="preserve">[TBD]</w:t>
      </w:r>
      <w:r>
        <w:t xml:space="preserve"> </w:t>
      </w:r>
      <w:r>
        <w:t xml:space="preserve">business owner.</w:t>
      </w:r>
    </w:p>
    <w:bookmarkEnd w:id="53"/>
    <w:bookmarkStart w:id="54" w:name="phase-2-build-1-to-2-weeks"/>
    <w:p>
      <w:pPr>
        <w:pStyle w:val="Heading3"/>
      </w:pPr>
      <w:r>
        <w:t xml:space="preserve">Phase 2: Build (1 to 2 weeks)</w:t>
      </w:r>
    </w:p>
    <w:p>
      <w:pPr>
        <w:numPr>
          <w:ilvl w:val="0"/>
          <w:numId w:val="1018"/>
        </w:numPr>
        <w:pStyle w:val="Compact"/>
      </w:pPr>
      <w:r>
        <w:t xml:space="preserve">Configure all Endpoint DLP settings in 7.1.</w:t>
      </w:r>
    </w:p>
    <w:p>
      <w:pPr>
        <w:numPr>
          <w:ilvl w:val="0"/>
          <w:numId w:val="1018"/>
        </w:numPr>
        <w:pStyle w:val="Compact"/>
      </w:pPr>
      <w:r>
        <w:t xml:space="preserve">Create policies EDLP-01 to EDLP-05 in 7.2, scoped to the pilot group, state</w:t>
      </w:r>
      <w:r>
        <w:t xml:space="preserve"> </w:t>
      </w:r>
      <w:r>
        <w:rPr>
          <w:bCs/>
          <w:b/>
        </w:rPr>
        <w:t xml:space="preserve">Keep it off</w:t>
      </w:r>
      <w:r>
        <w:t xml:space="preserve">.</w:t>
      </w:r>
    </w:p>
    <w:p>
      <w:pPr>
        <w:numPr>
          <w:ilvl w:val="0"/>
          <w:numId w:val="1018"/>
        </w:numPr>
        <w:pStyle w:val="Compact"/>
      </w:pPr>
      <w:r>
        <w:t xml:space="preserve">Build the test pack from section 9 on two Windows and one macOS pilot device.</w:t>
      </w:r>
    </w:p>
    <w:p>
      <w:pPr>
        <w:numPr>
          <w:ilvl w:val="0"/>
          <w:numId w:val="1018"/>
        </w:numPr>
        <w:pStyle w:val="Compact"/>
      </w:pPr>
      <w:r>
        <w:t xml:space="preserve">Configure alert routing: DLP alerts to the SOC queue; optional Sentinel connector.</w:t>
      </w:r>
    </w:p>
    <w:p>
      <w:pPr>
        <w:numPr>
          <w:ilvl w:val="0"/>
          <w:numId w:val="1018"/>
        </w:numPr>
        <w:pStyle w:val="Compact"/>
      </w:pPr>
      <w:r>
        <w:t xml:space="preserve">Write the end-user notice and the policy tip text (short, says what was blocked and where sanctioned storage is).</w:t>
      </w:r>
    </w:p>
    <w:bookmarkEnd w:id="54"/>
    <w:bookmarkStart w:id="55" w:name="phase-3-simulation-2-to-3-weeks"/>
    <w:p>
      <w:pPr>
        <w:pStyle w:val="Heading3"/>
      </w:pPr>
      <w:r>
        <w:t xml:space="preserve">Phase 3: Simulation (2 to 3 weeks)</w:t>
      </w:r>
    </w:p>
    <w:p>
      <w:pPr>
        <w:numPr>
          <w:ilvl w:val="0"/>
          <w:numId w:val="1019"/>
        </w:numPr>
        <w:pStyle w:val="Compact"/>
      </w:pPr>
      <w:r>
        <w:t xml:space="preserve">Switch EDLP-01 to EDLP-05 to</w:t>
      </w:r>
      <w:r>
        <w:t xml:space="preserve"> </w:t>
      </w:r>
      <w:r>
        <w:rPr>
          <w:bCs/>
          <w:b/>
        </w:rPr>
        <w:t xml:space="preserve">Run the policy in simulation mode</w:t>
      </w:r>
      <w:r>
        <w:t xml:space="preserve"> </w:t>
      </w:r>
      <w:r>
        <w:t xml:space="preserve">(without policy tips for the first week, with policy tips for the second).</w:t>
      </w:r>
      <w:r>
        <w:t xml:space="preserve"> </w:t>
      </w:r>
      <w:r>
        <w:rPr>
          <w:bCs/>
          <w:b/>
        </w:rPr>
        <w:t xml:space="preserve">Corrected in v0.3:</w:t>
      </w:r>
      <w:r>
        <w:t xml:space="preserve"> </w:t>
      </w:r>
      <w:r>
        <w:t xml:space="preserve">with policy tips on, Microsoft applies a configured Block as Block with override at runtime. The second week is therefore user-impacting enforcement with override, not a pure simulation. Treat it as such in the works council agreement and in user communication (Annex A, RT-13).</w:t>
      </w:r>
    </w:p>
    <w:p>
      <w:pPr>
        <w:numPr>
          <w:ilvl w:val="0"/>
          <w:numId w:val="1019"/>
        </w:numPr>
        <w:pStyle w:val="Compact"/>
      </w:pPr>
      <w:r>
        <w:t xml:space="preserve">Run the full test pack; every expected block must appear as a simulated match.</w:t>
      </w:r>
    </w:p>
    <w:p>
      <w:pPr>
        <w:numPr>
          <w:ilvl w:val="0"/>
          <w:numId w:val="1019"/>
        </w:numPr>
        <w:pStyle w:val="Compact"/>
      </w:pPr>
      <w:r>
        <w:t xml:space="preserve">Review the simulation dashboard and Activity explorer daily. Classify every match as true positive, business-needed (candidate allow-list entry), or false positive (tune condition).</w:t>
      </w:r>
    </w:p>
    <w:p>
      <w:pPr>
        <w:numPr>
          <w:ilvl w:val="0"/>
          <w:numId w:val="1019"/>
        </w:numPr>
        <w:pStyle w:val="Compact"/>
      </w:pPr>
      <w:r>
        <w:t xml:space="preserve">Add missing sanctioned shares, NAS web UIs, and M365 hostnames discovered in simulation.</w:t>
      </w:r>
    </w:p>
    <w:p>
      <w:pPr>
        <w:numPr>
          <w:ilvl w:val="0"/>
          <w:numId w:val="1019"/>
        </w:numPr>
        <w:pStyle w:val="Compact"/>
      </w:pPr>
      <w:r>
        <w:t xml:space="preserve">Exit criterion: all test pack cases, including the red-team validation cases in 9.1, produce the expected verdict; and zero unexplained matches for three consecutive working days. Quiet telemetry alone is not evidence of coverage, because Devices simulation only evaluates items that are new or changed during the window.</w:t>
      </w:r>
    </w:p>
    <w:p>
      <w:pPr>
        <w:pStyle w:val="FirstParagraph"/>
      </w:pPr>
      <w:r>
        <w:t xml:space="preserve">Note: for the Devices location, simulation evaluates only items that are new or changed during the simulation window, so make sure pilot users actively work with labeled files.</w:t>
      </w:r>
    </w:p>
    <w:bookmarkEnd w:id="55"/>
    <w:bookmarkStart w:id="56" w:name="X455566d2d51e97732db736f46b39233ad39dcac"/>
    <w:p>
      <w:pPr>
        <w:pStyle w:val="Heading3"/>
      </w:pPr>
      <w:r>
        <w:t xml:space="preserve">Phase 4: Block-with-override pilot (2 to 3 weeks)</w:t>
      </w:r>
    </w:p>
    <w:p>
      <w:pPr>
        <w:numPr>
          <w:ilvl w:val="0"/>
          <w:numId w:val="1020"/>
        </w:numPr>
        <w:pStyle w:val="Compact"/>
      </w:pPr>
      <w:r>
        <w:t xml:space="preserve">Switch EDLP-02, EDLP-03, EDLP-04 to</w:t>
      </w:r>
      <w:r>
        <w:t xml:space="preserve"> </w:t>
      </w:r>
      <w:r>
        <w:rPr>
          <w:bCs/>
          <w:b/>
        </w:rPr>
        <w:t xml:space="preserve">Turn it on</w:t>
      </w:r>
      <w:r>
        <w:t xml:space="preserve">. Temporarily set EDLP-01 actions to Block with override as well.</w:t>
      </w:r>
      <w:r>
        <w:t xml:space="preserve"> </w:t>
      </w:r>
      <w:r>
        <w:rPr>
          <w:bCs/>
          <w:b/>
        </w:rPr>
        <w:t xml:space="preserve">Red-team note:</w:t>
      </w:r>
      <w:r>
        <w:t xml:space="preserve"> </w:t>
      </w:r>
      <w:r>
        <w:t xml:space="preserve">this makes Tier 3 overridable for pilot users who were selected partly because they own a home NAS. Keep this window short and alert on every Tier 3 override.</w:t>
      </w:r>
    </w:p>
    <w:p>
      <w:pPr>
        <w:numPr>
          <w:ilvl w:val="0"/>
          <w:numId w:val="1020"/>
        </w:numPr>
        <w:pStyle w:val="Compact"/>
      </w:pPr>
      <w:r>
        <w:t xml:space="preserve">Keep the pilot group. Hold a weekly review of overrides and justifications.</w:t>
      </w:r>
    </w:p>
    <w:p>
      <w:pPr>
        <w:numPr>
          <w:ilvl w:val="0"/>
          <w:numId w:val="1020"/>
        </w:numPr>
        <w:pStyle w:val="Compact"/>
      </w:pPr>
      <w:r>
        <w:t xml:space="preserve">Enable just-in-time protection for the pilot group, fallback Audit.</w:t>
      </w:r>
    </w:p>
    <w:p>
      <w:pPr>
        <w:numPr>
          <w:ilvl w:val="0"/>
          <w:numId w:val="1020"/>
        </w:numPr>
        <w:pStyle w:val="Compact"/>
      </w:pPr>
      <w:r>
        <w:t xml:space="preserve">Exit criterion: override volume understood and acceptable (</w:t>
      </w:r>
      <w:r>
        <w:rPr>
          <w:rStyle w:val="VerbatimChar"/>
        </w:rPr>
        <w:t xml:space="preserve">[TBD]</w:t>
      </w:r>
      <w:r>
        <w:t xml:space="preserve"> </w:t>
      </w:r>
      <w:r>
        <w:t xml:space="preserve">threshold, e.g., fewer than 2 overrides per user per week after tuning); no helpdesk escalations unresolved.</w:t>
      </w:r>
    </w:p>
    <w:bookmarkEnd w:id="56"/>
    <w:bookmarkStart w:id="57" w:name="X6bf213ecbe6880a97bda3d809ccc2bb47c79972"/>
    <w:p>
      <w:pPr>
        <w:pStyle w:val="Heading3"/>
      </w:pPr>
      <w:r>
        <w:t xml:space="preserve">Phase 5: Enforce and roll out (4 to 8 weeks)</w:t>
      </w:r>
    </w:p>
    <w:p>
      <w:pPr>
        <w:numPr>
          <w:ilvl w:val="0"/>
          <w:numId w:val="1021"/>
        </w:numPr>
        <w:pStyle w:val="Compact"/>
      </w:pPr>
      <w:r>
        <w:t xml:space="preserve">Set EDLP-01 to Block. Set JIT fallback to Block.</w:t>
      </w:r>
    </w:p>
    <w:p>
      <w:pPr>
        <w:numPr>
          <w:ilvl w:val="0"/>
          <w:numId w:val="1021"/>
        </w:numPr>
        <w:pStyle w:val="Compact"/>
      </w:pPr>
      <w:r>
        <w:t xml:space="preserve">Expand scope in rings: Ring 1 (</w:t>
      </w:r>
      <w:r>
        <w:rPr>
          <w:rStyle w:val="VerbatimChar"/>
        </w:rPr>
        <w:t xml:space="preserve">[TBD]</w:t>
      </w:r>
      <w:r>
        <w:t xml:space="preserve"> </w:t>
      </w:r>
      <w:r>
        <w:t xml:space="preserve">~10 % of users, 1 week), Ring 2 (~50 %, 2 weeks), Ring 3 (all). Hold at each ring for one week of clean telemetry.</w:t>
      </w:r>
    </w:p>
    <w:p>
      <w:pPr>
        <w:numPr>
          <w:ilvl w:val="0"/>
          <w:numId w:val="1021"/>
        </w:numPr>
        <w:pStyle w:val="Compact"/>
      </w:pPr>
      <w:r>
        <w:t xml:space="preserve">Enable Defender for Cloud Apps unsanctioned app blocking (section 11.1) in parallel, starting with "Monitor", then "Block" for storage apps judged unsanctioned.</w:t>
      </w:r>
    </w:p>
    <w:p>
      <w:pPr>
        <w:numPr>
          <w:ilvl w:val="0"/>
          <w:numId w:val="1021"/>
        </w:numPr>
        <w:pStyle w:val="Compact"/>
      </w:pPr>
      <w:r>
        <w:t xml:space="preserve">Communicate to users at each ring: what changes, where sanctioned storage is, how to request an exception.</w:t>
      </w:r>
    </w:p>
    <w:bookmarkEnd w:id="57"/>
    <w:bookmarkStart w:id="58" w:name="phase-6-operate"/>
    <w:p>
      <w:pPr>
        <w:pStyle w:val="Heading3"/>
      </w:pPr>
      <w:r>
        <w:t xml:space="preserve">Phase 6: Operate</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704"/>
        <w:gridCol w:w="1551"/>
        <w:gridCol w:w="1610"/>
      </w:tblGrid>
      <w:tr>
        <w:trPr>
          <w:tblHeader w:val="true"/>
          <w:tblHeader w:val="true"/>
        </w:trPr>
        <w:tc>
          <w:tcPr>
            <w:tcW w:type="dxa" w:w="6704"/>
            <w:shd w:val="clear" w:color="auto" w:fill="DCE6F1"/>
          </w:tcPr>
          <w:p>
            <w:pPr>
              <w:pStyle w:val="Compact"/>
              <w:spacing w:after="20" w:before="20"/>
              <w:jc w:val="left"/>
            </w:pPr>
            <w:r>
              <w:rPr>
                <w:b/>
                <w:sz w:val="17"/>
              </w:rPr>
              <w:t xml:space="preserve">Activity</w:t>
            </w:r>
          </w:p>
        </w:tc>
        <w:tc>
          <w:tcPr>
            <w:tcW w:type="dxa" w:w="1551"/>
            <w:shd w:val="clear" w:color="auto" w:fill="DCE6F1"/>
          </w:tcPr>
          <w:p>
            <w:pPr>
              <w:pStyle w:val="Compact"/>
              <w:spacing w:after="20" w:before="20"/>
              <w:jc w:val="left"/>
            </w:pPr>
            <w:r>
              <w:rPr>
                <w:b/>
                <w:sz w:val="17"/>
              </w:rPr>
              <w:t xml:space="preserve">Cadence</w:t>
            </w:r>
          </w:p>
        </w:tc>
        <w:tc>
          <w:tcPr>
            <w:tcW w:type="dxa" w:w="1610"/>
            <w:shd w:val="clear" w:color="auto" w:fill="DCE6F1"/>
          </w:tcPr>
          <w:p>
            <w:pPr>
              <w:pStyle w:val="Compact"/>
              <w:spacing w:after="20" w:before="20"/>
              <w:jc w:val="left"/>
            </w:pPr>
            <w:r>
              <w:rPr>
                <w:b/>
                <w:sz w:val="17"/>
              </w:rPr>
              <w:t xml:space="preserve">Owner</w:t>
            </w:r>
          </w:p>
        </w:tc>
      </w:tr>
      <w:tr>
        <w:tc>
          <w:tcPr>
            <w:tcW w:type="dxa" w:w="6704"/>
          </w:tcPr>
          <w:p>
            <w:pPr>
              <w:pStyle w:val="Compact"/>
              <w:spacing w:after="20" w:before="20"/>
              <w:jc w:val="left"/>
            </w:pPr>
            <w:r>
              <w:rPr>
                <w:sz w:val="17"/>
              </w:rPr>
              <w:t xml:space="preserve">Review DLP alerts and overrides; escalate Tier 3 overrides</w:t>
            </w:r>
          </w:p>
        </w:tc>
        <w:tc>
          <w:tcPr>
            <w:tcW w:type="dxa" w:w="1551"/>
          </w:tcPr>
          <w:p>
            <w:pPr>
              <w:pStyle w:val="Compact"/>
              <w:spacing w:after="20" w:before="20"/>
              <w:jc w:val="left"/>
            </w:pPr>
            <w:r>
              <w:rPr>
                <w:sz w:val="17"/>
              </w:rPr>
              <w:t xml:space="preserve">Daily (SOC), weekly summary</w:t>
            </w:r>
          </w:p>
        </w:tc>
        <w:tc>
          <w:tcPr>
            <w:tcW w:type="dxa" w:w="1610"/>
          </w:tcPr>
          <w:p>
            <w:pPr>
              <w:pStyle w:val="Compact"/>
              <w:spacing w:after="20" w:before="20"/>
              <w:jc w:val="left"/>
            </w:pPr>
            <w:r>
              <w:rPr>
                <w:sz w:val="17"/>
              </w:rPr>
              <w:t xml:space="preserve">SOC /</w:t>
            </w:r>
            <w:r>
              <w:rPr>
                <w:sz w:val="17"/>
              </w:rPr>
              <w:t xml:space="preserve"> </w:t>
            </w:r>
            <w:r>
              <w:rPr>
                <w:rStyle w:val="VerbatimChar"/>
                <w:sz w:val="17"/>
              </w:rPr>
              <w:t xml:space="preserve">[TBD]</w:t>
            </w:r>
          </w:p>
        </w:tc>
      </w:tr>
      <w:tr>
        <w:tc>
          <w:tcPr>
            <w:tcW w:type="dxa" w:w="6704"/>
          </w:tcPr>
          <w:p>
            <w:pPr>
              <w:pStyle w:val="Compact"/>
              <w:spacing w:after="20" w:before="20"/>
              <w:jc w:val="left"/>
            </w:pPr>
            <w:r>
              <w:rPr>
                <w:sz w:val="17"/>
              </w:rPr>
              <w:t xml:space="preserve">Review new browsers, sync and backup clients, and transfer tools from Defender inventory; update application control and restricted app groups. Home NAS devices are never added to an allow list</w:t>
            </w:r>
          </w:p>
        </w:tc>
        <w:tc>
          <w:tcPr>
            <w:tcW w:type="dxa" w:w="1551"/>
          </w:tcPr>
          <w:p>
            <w:pPr>
              <w:pStyle w:val="Compact"/>
              <w:spacing w:after="20" w:before="20"/>
              <w:jc w:val="left"/>
            </w:pPr>
            <w:r>
              <w:rPr>
                <w:sz w:val="17"/>
              </w:rPr>
              <w:t xml:space="preserve">Monthly</w:t>
            </w:r>
          </w:p>
        </w:tc>
        <w:tc>
          <w:tcPr>
            <w:tcW w:type="dxa" w:w="1610"/>
          </w:tcPr>
          <w:p>
            <w:pPr>
              <w:pStyle w:val="Compact"/>
              <w:spacing w:after="20" w:before="20"/>
              <w:jc w:val="left"/>
            </w:pPr>
            <w:r>
              <w:rPr>
                <w:sz w:val="17"/>
              </w:rPr>
              <w:t xml:space="preserve">Endpoint team</w:t>
            </w:r>
          </w:p>
        </w:tc>
      </w:tr>
      <w:tr>
        <w:tc>
          <w:tcPr>
            <w:tcW w:type="dxa" w:w="6704"/>
          </w:tcPr>
          <w:p>
            <w:pPr>
              <w:pStyle w:val="Compact"/>
              <w:spacing w:after="20" w:before="20"/>
              <w:jc w:val="left"/>
            </w:pPr>
            <w:r>
              <w:rPr>
                <w:sz w:val="17"/>
              </w:rPr>
              <w:t xml:space="preserve">Review Cloud Discovery for new storage apps; sanction or unsanction</w:t>
            </w:r>
          </w:p>
        </w:tc>
        <w:tc>
          <w:tcPr>
            <w:tcW w:type="dxa" w:w="1551"/>
          </w:tcPr>
          <w:p>
            <w:pPr>
              <w:pStyle w:val="Compact"/>
              <w:spacing w:after="20" w:before="20"/>
              <w:jc w:val="left"/>
            </w:pPr>
            <w:r>
              <w:rPr>
                <w:sz w:val="17"/>
              </w:rPr>
              <w:t xml:space="preserve">Monthly</w:t>
            </w:r>
          </w:p>
        </w:tc>
        <w:tc>
          <w:tcPr>
            <w:tcW w:type="dxa" w:w="1610"/>
          </w:tcPr>
          <w:p>
            <w:pPr>
              <w:pStyle w:val="Compact"/>
              <w:spacing w:after="20" w:before="20"/>
              <w:jc w:val="left"/>
            </w:pPr>
            <w:r>
              <w:rPr>
                <w:sz w:val="17"/>
              </w:rPr>
              <w:t xml:space="preserve">Security</w:t>
            </w:r>
          </w:p>
        </w:tc>
      </w:tr>
      <w:tr>
        <w:tc>
          <w:tcPr>
            <w:tcW w:type="dxa" w:w="6704"/>
          </w:tcPr>
          <w:p>
            <w:pPr>
              <w:pStyle w:val="Compact"/>
              <w:spacing w:after="20" w:before="20"/>
              <w:jc w:val="left"/>
            </w:pPr>
            <w:r>
              <w:rPr>
                <w:sz w:val="17"/>
              </w:rPr>
              <w:t xml:space="preserve">Re-test the full test pack after Defender platform updates or Windows feature updates</w:t>
            </w:r>
          </w:p>
        </w:tc>
        <w:tc>
          <w:tcPr>
            <w:tcW w:type="dxa" w:w="1551"/>
          </w:tcPr>
          <w:p>
            <w:pPr>
              <w:pStyle w:val="Compact"/>
              <w:spacing w:after="20" w:before="20"/>
              <w:jc w:val="left"/>
            </w:pPr>
            <w:r>
              <w:rPr>
                <w:sz w:val="17"/>
              </w:rPr>
              <w:t xml:space="preserve">Quarterly</w:t>
            </w:r>
          </w:p>
        </w:tc>
        <w:tc>
          <w:tcPr>
            <w:tcW w:type="dxa" w:w="1610"/>
          </w:tcPr>
          <w:p>
            <w:pPr>
              <w:pStyle w:val="Compact"/>
              <w:spacing w:after="20" w:before="20"/>
              <w:jc w:val="left"/>
            </w:pPr>
            <w:r>
              <w:rPr>
                <w:sz w:val="17"/>
              </w:rPr>
              <w:t xml:space="preserve">Endpoint team</w:t>
            </w:r>
          </w:p>
        </w:tc>
      </w:tr>
      <w:tr>
        <w:tc>
          <w:tcPr>
            <w:tcW w:type="dxa" w:w="6704"/>
          </w:tcPr>
          <w:p>
            <w:pPr>
              <w:pStyle w:val="Compact"/>
              <w:spacing w:after="20" w:before="20"/>
              <w:jc w:val="left"/>
            </w:pPr>
            <w:r>
              <w:rPr>
                <w:sz w:val="17"/>
              </w:rPr>
              <w:t xml:space="preserve">Review label taxonomy and tier mapping; review labeling coverage</w:t>
            </w:r>
          </w:p>
        </w:tc>
        <w:tc>
          <w:tcPr>
            <w:tcW w:type="dxa" w:w="1551"/>
          </w:tcPr>
          <w:p>
            <w:pPr>
              <w:pStyle w:val="Compact"/>
              <w:spacing w:after="20" w:before="20"/>
              <w:jc w:val="left"/>
            </w:pPr>
            <w:r>
              <w:rPr>
                <w:sz w:val="17"/>
              </w:rPr>
              <w:t xml:space="preserve">Quarterly</w:t>
            </w:r>
          </w:p>
        </w:tc>
        <w:tc>
          <w:tcPr>
            <w:tcW w:type="dxa" w:w="1610"/>
          </w:tcPr>
          <w:p>
            <w:pPr>
              <w:pStyle w:val="Compact"/>
              <w:spacing w:after="20" w:before="20"/>
              <w:jc w:val="left"/>
            </w:pPr>
            <w:r>
              <w:rPr>
                <w:sz w:val="17"/>
              </w:rPr>
              <w:t xml:space="preserve">Information protection owner</w:t>
            </w:r>
          </w:p>
        </w:tc>
      </w:tr>
      <w:tr>
        <w:tc>
          <w:tcPr>
            <w:tcW w:type="dxa" w:w="6704"/>
          </w:tcPr>
          <w:p>
            <w:pPr>
              <w:pStyle w:val="Compact"/>
              <w:spacing w:after="20" w:before="20"/>
              <w:jc w:val="left"/>
            </w:pPr>
            <w:r>
              <w:rPr>
                <w:sz w:val="17"/>
              </w:rPr>
              <w:t xml:space="preserve">Review this document and Microsoft Learn for capability changes (features in preview in this document)</w:t>
            </w:r>
          </w:p>
        </w:tc>
        <w:tc>
          <w:tcPr>
            <w:tcW w:type="dxa" w:w="1551"/>
          </w:tcPr>
          <w:p>
            <w:pPr>
              <w:pStyle w:val="Compact"/>
              <w:spacing w:after="20" w:before="20"/>
              <w:jc w:val="left"/>
            </w:pPr>
            <w:r>
              <w:rPr>
                <w:sz w:val="17"/>
              </w:rPr>
              <w:t xml:space="preserve">Quarterly</w:t>
            </w:r>
          </w:p>
        </w:tc>
        <w:tc>
          <w:tcPr>
            <w:tcW w:type="dxa" w:w="1610"/>
          </w:tcPr>
          <w:p>
            <w:pPr>
              <w:pStyle w:val="Compact"/>
              <w:spacing w:after="20" w:before="20"/>
              <w:jc w:val="left"/>
            </w:pPr>
            <w:r>
              <w:rPr>
                <w:sz w:val="17"/>
              </w:rPr>
              <w:t xml:space="preserve">Security</w:t>
            </w:r>
          </w:p>
        </w:tc>
      </w:tr>
    </w:tbl>
    <w:p>
      <w:r>
        <w:pict>
          <v:rect style="width:0;height:1.5pt" o:hralign="center" o:hrstd="t" o:hr="t"/>
        </w:pict>
      </w:r>
    </w:p>
    <w:bookmarkEnd w:id="58"/>
    <w:bookmarkEnd w:id="59"/>
    <w:bookmarkStart w:id="61" w:name="X0f49a073ea47e040c4df4430aeee4a670a01bfd"/>
    <w:p>
      <w:pPr>
        <w:pStyle w:val="Heading2"/>
      </w:pPr>
      <w:r>
        <w:t xml:space="preserve">9. Test pack and acceptance criteria</w:t>
      </w:r>
    </w:p>
    <w:p>
      <w:pPr>
        <w:pStyle w:val="FirstParagraph"/>
      </w:pPr>
      <w:r>
        <w:t xml:space="preserve">Every case is run on Windows (Edge, Chrome with extension) and macOS (Edge, Safari) against the lab home network unless marked. Pass = the "Expected" column.</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15"/>
        <w:gridCol w:w="3548"/>
        <w:gridCol w:w="2579"/>
        <w:gridCol w:w="1665"/>
        <w:gridCol w:w="1458"/>
      </w:tblGrid>
      <w:tr>
        <w:trPr>
          <w:tblHeader w:val="true"/>
          <w:tblHeader w:val="true"/>
        </w:trPr>
        <w:tc>
          <w:tcPr>
            <w:tcW w:type="dxa" w:w="615"/>
            <w:shd w:val="clear" w:color="auto" w:fill="DCE6F1"/>
          </w:tcPr>
          <w:p>
            <w:pPr>
              <w:pStyle w:val="Compact"/>
              <w:spacing w:after="20" w:before="20"/>
              <w:jc w:val="left"/>
            </w:pPr>
            <w:r>
              <w:rPr>
                <w:b/>
                <w:sz w:val="17"/>
              </w:rPr>
              <w:t xml:space="preserve">ID</w:t>
            </w:r>
          </w:p>
        </w:tc>
        <w:tc>
          <w:tcPr>
            <w:tcW w:type="dxa" w:w="3548"/>
            <w:shd w:val="clear" w:color="auto" w:fill="DCE6F1"/>
          </w:tcPr>
          <w:p>
            <w:pPr>
              <w:pStyle w:val="Compact"/>
              <w:spacing w:after="20" w:before="20"/>
              <w:jc w:val="left"/>
            </w:pPr>
            <w:r>
              <w:rPr>
                <w:b/>
                <w:sz w:val="17"/>
              </w:rPr>
              <w:t xml:space="preserve">Steps</w:t>
            </w:r>
          </w:p>
        </w:tc>
        <w:tc>
          <w:tcPr>
            <w:tcW w:type="dxa" w:w="2579"/>
            <w:shd w:val="clear" w:color="auto" w:fill="DCE6F1"/>
          </w:tcPr>
          <w:p>
            <w:pPr>
              <w:pStyle w:val="Compact"/>
              <w:spacing w:after="20" w:before="20"/>
              <w:jc w:val="left"/>
            </w:pPr>
            <w:r>
              <w:rPr>
                <w:b/>
                <w:sz w:val="17"/>
              </w:rPr>
              <w:t xml:space="preserve">Expected (Tier 3)</w:t>
            </w:r>
          </w:p>
        </w:tc>
        <w:tc>
          <w:tcPr>
            <w:tcW w:type="dxa" w:w="1665"/>
            <w:shd w:val="clear" w:color="auto" w:fill="DCE6F1"/>
          </w:tcPr>
          <w:p>
            <w:pPr>
              <w:pStyle w:val="Compact"/>
              <w:spacing w:after="20" w:before="20"/>
              <w:jc w:val="left"/>
            </w:pPr>
            <w:r>
              <w:rPr>
                <w:b/>
                <w:sz w:val="17"/>
              </w:rPr>
              <w:t xml:space="preserve">Expected (Tier 2)</w:t>
            </w:r>
          </w:p>
        </w:tc>
        <w:tc>
          <w:tcPr>
            <w:tcW w:type="dxa" w:w="1458"/>
            <w:shd w:val="clear" w:color="auto" w:fill="DCE6F1"/>
          </w:tcPr>
          <w:p>
            <w:pPr>
              <w:pStyle w:val="Compact"/>
              <w:spacing w:after="20" w:before="20"/>
              <w:jc w:val="left"/>
            </w:pPr>
            <w:r>
              <w:rPr>
                <w:b/>
                <w:sz w:val="17"/>
              </w:rPr>
              <w:t xml:space="preserve">Expected (unlabeled)</w:t>
            </w:r>
          </w:p>
        </w:tc>
      </w:tr>
      <w:tr>
        <w:tc>
          <w:tcPr>
            <w:tcW w:type="dxa" w:w="615"/>
          </w:tcPr>
          <w:p>
            <w:pPr>
              <w:pStyle w:val="Compact"/>
              <w:spacing w:after="20" w:before="20"/>
              <w:jc w:val="left"/>
            </w:pPr>
            <w:r>
              <w:rPr>
                <w:sz w:val="17"/>
              </w:rPr>
              <w:t xml:space="preserve">T01</w:t>
            </w:r>
          </w:p>
        </w:tc>
        <w:tc>
          <w:tcPr>
            <w:tcW w:type="dxa" w:w="3548"/>
          </w:tcPr>
          <w:p>
            <w:pPr>
              <w:pStyle w:val="Compact"/>
              <w:spacing w:after="20" w:before="20"/>
              <w:jc w:val="left"/>
            </w:pPr>
            <w:r>
              <w:rPr>
                <w:sz w:val="17"/>
              </w:rPr>
              <w:t xml:space="preserve">Copy labeled file to lab home NAS UNC path in Explorer/Finder and via mapped drive</w:t>
            </w:r>
          </w:p>
        </w:tc>
        <w:tc>
          <w:tcPr>
            <w:tcW w:type="dxa" w:w="2579"/>
          </w:tcPr>
          <w:p>
            <w:pPr>
              <w:pStyle w:val="Compact"/>
              <w:spacing w:after="20" w:before="20"/>
              <w:jc w:val="left"/>
            </w:pPr>
            <w:r>
              <w:rPr>
                <w:sz w:val="17"/>
              </w:rPr>
              <w:t xml:space="preserve">Blocked, alert</w:t>
            </w:r>
          </w:p>
        </w:tc>
        <w:tc>
          <w:tcPr>
            <w:tcW w:type="dxa" w:w="1665"/>
          </w:tcPr>
          <w:p>
            <w:pPr>
              <w:pStyle w:val="Compact"/>
              <w:spacing w:after="20" w:before="20"/>
              <w:jc w:val="left"/>
            </w:pPr>
            <w:r>
              <w:rPr>
                <w:sz w:val="17"/>
              </w:rPr>
              <w:t xml:space="preserve">Override prompt, justification logged</w:t>
            </w:r>
          </w:p>
        </w:tc>
        <w:tc>
          <w:tcPr>
            <w:tcW w:type="dxa" w:w="1458"/>
          </w:tcPr>
          <w:p>
            <w:pPr>
              <w:pStyle w:val="Compact"/>
              <w:spacing w:after="20" w:before="20"/>
              <w:jc w:val="left"/>
            </w:pPr>
            <w:r>
              <w:rPr>
                <w:sz w:val="17"/>
              </w:rPr>
              <w:t xml:space="preserve">Allowed, audited</w:t>
            </w:r>
          </w:p>
        </w:tc>
      </w:tr>
      <w:tr>
        <w:tc>
          <w:tcPr>
            <w:tcW w:type="dxa" w:w="615"/>
          </w:tcPr>
          <w:p>
            <w:pPr>
              <w:pStyle w:val="Compact"/>
              <w:spacing w:after="20" w:before="20"/>
              <w:jc w:val="left"/>
            </w:pPr>
            <w:r>
              <w:rPr>
                <w:sz w:val="17"/>
              </w:rPr>
              <w:t xml:space="preserve">T02</w:t>
            </w:r>
          </w:p>
        </w:tc>
        <w:tc>
          <w:tcPr>
            <w:tcW w:type="dxa" w:w="3548"/>
          </w:tcPr>
          <w:p>
            <w:pPr>
              <w:pStyle w:val="Compact"/>
              <w:spacing w:after="20" w:before="20"/>
              <w:jc w:val="left"/>
            </w:pPr>
            <w:r>
              <w:rPr>
                <w:sz w:val="17"/>
              </w:rPr>
              <w:t xml:space="preserve">Save As from Word to lab home NAS UNC path</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T03</w:t>
            </w:r>
          </w:p>
        </w:tc>
        <w:tc>
          <w:tcPr>
            <w:tcW w:type="dxa" w:w="3548"/>
          </w:tcPr>
          <w:p>
            <w:pPr>
              <w:pStyle w:val="Compact"/>
              <w:spacing w:after="20" w:before="20"/>
              <w:jc w:val="left"/>
            </w:pPr>
            <w:r>
              <w:rPr>
                <w:sz w:val="17"/>
              </w:rPr>
              <w:t xml:space="preserve">Copy labeled file to corporate file server over VPN (if any) and to mapped drive of same share</w:t>
            </w:r>
          </w:p>
        </w:tc>
        <w:tc>
          <w:tcPr>
            <w:tcW w:type="dxa" w:w="2579"/>
          </w:tcPr>
          <w:p>
            <w:pPr>
              <w:pStyle w:val="Compact"/>
              <w:spacing w:after="20" w:before="20"/>
              <w:jc w:val="left"/>
            </w:pPr>
            <w:r>
              <w:rPr>
                <w:sz w:val="17"/>
              </w:rPr>
              <w:t xml:space="preserve">Allowed, no alert</w:t>
            </w:r>
          </w:p>
        </w:tc>
        <w:tc>
          <w:tcPr>
            <w:tcW w:type="dxa" w:w="1665"/>
          </w:tcPr>
          <w:p>
            <w:pPr>
              <w:pStyle w:val="Compact"/>
              <w:spacing w:after="20" w:before="20"/>
              <w:jc w:val="left"/>
            </w:pPr>
            <w:r>
              <w:rPr>
                <w:sz w:val="17"/>
              </w:rPr>
              <w:t xml:space="preserve">Allowed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T04</w:t>
            </w:r>
          </w:p>
        </w:tc>
        <w:tc>
          <w:tcPr>
            <w:tcW w:type="dxa" w:w="3548"/>
          </w:tcPr>
          <w:p>
            <w:pPr>
              <w:pStyle w:val="Compact"/>
              <w:spacing w:after="20" w:before="20"/>
              <w:jc w:val="left"/>
            </w:pPr>
            <w:r>
              <w:rPr>
                <w:sz w:val="17"/>
              </w:rPr>
              <w:t xml:space="preserve">Upload labeled file to lab NAS web UI by private IP</w:t>
            </w:r>
          </w:p>
        </w:tc>
        <w:tc>
          <w:tcPr>
            <w:tcW w:type="dxa" w:w="2579"/>
          </w:tcPr>
          <w:p>
            <w:pPr>
              <w:pStyle w:val="Compact"/>
              <w:spacing w:after="20" w:before="20"/>
              <w:jc w:val="left"/>
            </w:pPr>
            <w:r>
              <w:rPr>
                <w:sz w:val="17"/>
              </w:rPr>
              <w:t xml:space="preserve">Blocked (Windows: attributed to "Private network storage"; macOS: attributed to unlisted domain)</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T05</w:t>
            </w:r>
          </w:p>
        </w:tc>
        <w:tc>
          <w:tcPr>
            <w:tcW w:type="dxa" w:w="3548"/>
          </w:tcPr>
          <w:p>
            <w:pPr>
              <w:pStyle w:val="Compact"/>
              <w:spacing w:after="20" w:before="20"/>
              <w:jc w:val="left"/>
            </w:pPr>
            <w:r>
              <w:rPr>
                <w:sz w:val="17"/>
              </w:rPr>
              <w:t xml:space="preserve">Upload labeled file to lab NAS web UI by</w:t>
            </w:r>
            <w:r>
              <w:rPr>
                <w:sz w:val="17"/>
              </w:rPr>
              <w:t xml:space="preserve"> </w:t>
            </w:r>
            <w:r>
              <w:rPr>
                <w:rStyle w:val="VerbatimChar"/>
                <w:sz w:val="17"/>
              </w:rPr>
              <w:t xml:space="preserve">.local</w:t>
            </w:r>
            <w:r>
              <w:rPr>
                <w:sz w:val="17"/>
              </w:rPr>
              <w:t xml:space="preserve"> </w:t>
            </w:r>
            <w:r>
              <w:rPr>
                <w:sz w:val="17"/>
              </w:rPr>
              <w:t xml:space="preserve">hostname, and to the vendor relay portal</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T06</w:t>
            </w:r>
          </w:p>
        </w:tc>
        <w:tc>
          <w:tcPr>
            <w:tcW w:type="dxa" w:w="3548"/>
          </w:tcPr>
          <w:p>
            <w:pPr>
              <w:pStyle w:val="Compact"/>
              <w:spacing w:after="20" w:before="20"/>
              <w:jc w:val="left"/>
            </w:pPr>
            <w:r>
              <w:rPr>
                <w:sz w:val="17"/>
              </w:rPr>
              <w:t xml:space="preserve">Upload labeled file to a sanctioned internal web app (if any)</w:t>
            </w:r>
          </w:p>
        </w:tc>
        <w:tc>
          <w:tcPr>
            <w:tcW w:type="dxa" w:w="2579"/>
          </w:tcPr>
          <w:p>
            <w:pPr>
              <w:pStyle w:val="Compact"/>
              <w:spacing w:after="20" w:before="20"/>
              <w:jc w:val="left"/>
            </w:pPr>
            <w:r>
              <w:rPr>
                <w:sz w:val="17"/>
              </w:rPr>
              <w:t xml:space="preserve">Allowed. Precondition: its address is not inside any Block range, because the most restrictive action wins (RT-08)</w:t>
            </w:r>
          </w:p>
        </w:tc>
        <w:tc>
          <w:tcPr>
            <w:tcW w:type="dxa" w:w="1665"/>
          </w:tcPr>
          <w:p>
            <w:pPr>
              <w:pStyle w:val="Compact"/>
              <w:spacing w:after="20" w:before="20"/>
              <w:jc w:val="left"/>
            </w:pPr>
            <w:r>
              <w:rPr>
                <w:sz w:val="17"/>
              </w:rPr>
              <w:t xml:space="preserve">Allowed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T07</w:t>
            </w:r>
          </w:p>
        </w:tc>
        <w:tc>
          <w:tcPr>
            <w:tcW w:type="dxa" w:w="3548"/>
          </w:tcPr>
          <w:p>
            <w:pPr>
              <w:pStyle w:val="Compact"/>
              <w:spacing w:after="20" w:before="20"/>
              <w:jc w:val="left"/>
            </w:pPr>
            <w:r>
              <w:rPr>
                <w:sz w:val="17"/>
              </w:rPr>
              <w:t xml:space="preserve">Upload labeled file to three unsanctioned cloud storage sites</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T08</w:t>
            </w:r>
          </w:p>
        </w:tc>
        <w:tc>
          <w:tcPr>
            <w:tcW w:type="dxa" w:w="3548"/>
          </w:tcPr>
          <w:p>
            <w:pPr>
              <w:pStyle w:val="Compact"/>
              <w:spacing w:after="20" w:before="20"/>
              <w:jc w:val="left"/>
            </w:pPr>
            <w:r>
              <w:rPr>
                <w:sz w:val="17"/>
              </w:rPr>
              <w:t xml:space="preserve">Upload labeled file to the apoBank tenant's SharePoint, OneDrive for Business, Teams web, Outlook on the web</w:t>
            </w:r>
          </w:p>
        </w:tc>
        <w:tc>
          <w:tcPr>
            <w:tcW w:type="dxa" w:w="2579"/>
          </w:tcPr>
          <w:p>
            <w:pPr>
              <w:pStyle w:val="Compact"/>
              <w:spacing w:after="20" w:before="20"/>
              <w:jc w:val="left"/>
            </w:pPr>
            <w:r>
              <w:rPr>
                <w:sz w:val="17"/>
              </w:rPr>
              <w:t xml:space="preserve">Allowed</w:t>
            </w:r>
          </w:p>
        </w:tc>
        <w:tc>
          <w:tcPr>
            <w:tcW w:type="dxa" w:w="1665"/>
          </w:tcPr>
          <w:p>
            <w:pPr>
              <w:pStyle w:val="Compact"/>
              <w:spacing w:after="20" w:before="20"/>
              <w:jc w:val="left"/>
            </w:pPr>
            <w:r>
              <w:rPr>
                <w:sz w:val="17"/>
              </w:rPr>
              <w:t xml:space="preserve">Allowed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T09</w:t>
            </w:r>
          </w:p>
        </w:tc>
        <w:tc>
          <w:tcPr>
            <w:tcW w:type="dxa" w:w="3548"/>
          </w:tcPr>
          <w:p>
            <w:pPr>
              <w:pStyle w:val="Compact"/>
              <w:spacing w:after="20" w:before="20"/>
              <w:jc w:val="left"/>
            </w:pPr>
            <w:r>
              <w:rPr>
                <w:sz w:val="17"/>
              </w:rPr>
              <w:t xml:space="preserve">Open labeled file in an unallowed browser</w:t>
            </w:r>
          </w:p>
        </w:tc>
        <w:tc>
          <w:tcPr>
            <w:tcW w:type="dxa" w:w="2579"/>
          </w:tcPr>
          <w:p>
            <w:pPr>
              <w:pStyle w:val="Compact"/>
              <w:spacing w:after="20" w:before="20"/>
              <w:jc w:val="left"/>
            </w:pPr>
            <w:r>
              <w:rPr>
                <w:sz w:val="17"/>
              </w:rPr>
              <w:t xml:space="preserve">Blocked, redirect to Edge</w:t>
            </w:r>
          </w:p>
        </w:tc>
        <w:tc>
          <w:tcPr>
            <w:tcW w:type="dxa" w:w="1665"/>
          </w:tcPr>
          <w:p>
            <w:pPr>
              <w:pStyle w:val="Compact"/>
              <w:spacing w:after="20" w:before="20"/>
              <w:jc w:val="left"/>
            </w:pPr>
            <w:r>
              <w:rPr>
                <w:sz w:val="17"/>
              </w:rPr>
              <w:t xml:space="preserve">Blocked, redirect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T10</w:t>
            </w:r>
          </w:p>
        </w:tc>
        <w:tc>
          <w:tcPr>
            <w:tcW w:type="dxa" w:w="3548"/>
          </w:tcPr>
          <w:p>
            <w:pPr>
              <w:pStyle w:val="Compact"/>
              <w:spacing w:after="20" w:before="20"/>
              <w:jc w:val="left"/>
            </w:pPr>
            <w:r>
              <w:rPr>
                <w:sz w:val="17"/>
              </w:rPr>
              <w:t xml:space="preserve">Place labeled file in Synology Drive Client / Qsync / Dropbox sync folder</w:t>
            </w:r>
          </w:p>
        </w:tc>
        <w:tc>
          <w:tcPr>
            <w:tcW w:type="dxa" w:w="2579"/>
          </w:tcPr>
          <w:p>
            <w:pPr>
              <w:pStyle w:val="Compact"/>
              <w:spacing w:after="20" w:before="20"/>
              <w:jc w:val="left"/>
            </w:pPr>
            <w:r>
              <w:rPr>
                <w:sz w:val="17"/>
              </w:rPr>
              <w:t xml:space="preserve">Quarantined, placeholder, one notification</w:t>
            </w:r>
          </w:p>
        </w:tc>
        <w:tc>
          <w:tcPr>
            <w:tcW w:type="dxa" w:w="1665"/>
          </w:tcPr>
          <w:p>
            <w:pPr>
              <w:pStyle w:val="Compact"/>
              <w:spacing w:after="20" w:before="20"/>
              <w:jc w:val="left"/>
            </w:pPr>
            <w:r>
              <w:rPr>
                <w:sz w:val="17"/>
              </w:rPr>
              <w:t xml:space="preserve">Quarantined</w:t>
            </w:r>
          </w:p>
        </w:tc>
        <w:tc>
          <w:tcPr>
            <w:tcW w:type="dxa" w:w="1458"/>
          </w:tcPr>
          <w:p>
            <w:pPr>
              <w:pStyle w:val="Compact"/>
              <w:spacing w:after="20" w:before="20"/>
              <w:jc w:val="left"/>
            </w:pPr>
            <w:r>
              <w:rPr>
                <w:sz w:val="17"/>
              </w:rPr>
              <w:t xml:space="preserve">Synced</w:t>
            </w:r>
          </w:p>
        </w:tc>
      </w:tr>
      <w:tr>
        <w:tc>
          <w:tcPr>
            <w:tcW w:type="dxa" w:w="615"/>
          </w:tcPr>
          <w:p>
            <w:pPr>
              <w:pStyle w:val="Compact"/>
              <w:spacing w:after="20" w:before="20"/>
              <w:jc w:val="left"/>
            </w:pPr>
            <w:r>
              <w:rPr>
                <w:sz w:val="17"/>
              </w:rPr>
              <w:t xml:space="preserve">T11</w:t>
            </w:r>
          </w:p>
        </w:tc>
        <w:tc>
          <w:tcPr>
            <w:tcW w:type="dxa" w:w="3548"/>
          </w:tcPr>
          <w:p>
            <w:pPr>
              <w:pStyle w:val="Compact"/>
              <w:spacing w:after="20" w:before="20"/>
              <w:jc w:val="left"/>
            </w:pPr>
            <w:r>
              <w:rPr>
                <w:sz w:val="17"/>
              </w:rPr>
              <w:t xml:space="preserve">Place labeled file in OneDrive sync folder</w:t>
            </w:r>
          </w:p>
        </w:tc>
        <w:tc>
          <w:tcPr>
            <w:tcW w:type="dxa" w:w="2579"/>
          </w:tcPr>
          <w:p>
            <w:pPr>
              <w:pStyle w:val="Compact"/>
              <w:spacing w:after="20" w:before="20"/>
              <w:jc w:val="left"/>
            </w:pPr>
            <w:r>
              <w:rPr>
                <w:sz w:val="17"/>
              </w:rPr>
              <w:t xml:space="preserve">Synced</w:t>
            </w:r>
          </w:p>
        </w:tc>
        <w:tc>
          <w:tcPr>
            <w:tcW w:type="dxa" w:w="1665"/>
          </w:tcPr>
          <w:p>
            <w:pPr>
              <w:pStyle w:val="Compact"/>
              <w:spacing w:after="20" w:before="20"/>
              <w:jc w:val="left"/>
            </w:pPr>
            <w:r>
              <w:rPr>
                <w:sz w:val="17"/>
              </w:rPr>
              <w:t xml:space="preserve">Synced</w:t>
            </w:r>
          </w:p>
        </w:tc>
        <w:tc>
          <w:tcPr>
            <w:tcW w:type="dxa" w:w="1458"/>
          </w:tcPr>
          <w:p>
            <w:pPr>
              <w:pStyle w:val="Compact"/>
              <w:spacing w:after="20" w:before="20"/>
              <w:jc w:val="left"/>
            </w:pPr>
            <w:r>
              <w:rPr>
                <w:sz w:val="17"/>
              </w:rPr>
              <w:t xml:space="preserve">Synced</w:t>
            </w:r>
          </w:p>
        </w:tc>
      </w:tr>
      <w:tr>
        <w:tc>
          <w:tcPr>
            <w:tcW w:type="dxa" w:w="615"/>
          </w:tcPr>
          <w:p>
            <w:pPr>
              <w:pStyle w:val="Compact"/>
              <w:spacing w:after="20" w:before="20"/>
              <w:jc w:val="left"/>
            </w:pPr>
            <w:r>
              <w:rPr>
                <w:sz w:val="17"/>
              </w:rPr>
              <w:t xml:space="preserve">T12</w:t>
            </w:r>
          </w:p>
        </w:tc>
        <w:tc>
          <w:tcPr>
            <w:tcW w:type="dxa" w:w="3548"/>
          </w:tcPr>
          <w:p>
            <w:pPr>
              <w:pStyle w:val="Compact"/>
              <w:spacing w:after="20" w:before="20"/>
              <w:jc w:val="left"/>
            </w:pPr>
            <w:r>
              <w:rPr>
                <w:sz w:val="17"/>
              </w:rPr>
              <w:t xml:space="preserve">Copy text from labeled file, paste in same file</w:t>
            </w:r>
          </w:p>
        </w:tc>
        <w:tc>
          <w:tcPr>
            <w:tcW w:type="dxa" w:w="2579"/>
          </w:tcPr>
          <w:p>
            <w:pPr>
              <w:pStyle w:val="Compact"/>
              <w:spacing w:after="20" w:before="20"/>
              <w:jc w:val="left"/>
            </w:pPr>
            <w:r>
              <w:rPr>
                <w:sz w:val="17"/>
              </w:rPr>
              <w:t xml:space="preserve">Allowed</w:t>
            </w:r>
          </w:p>
        </w:tc>
        <w:tc>
          <w:tcPr>
            <w:tcW w:type="dxa" w:w="1665"/>
          </w:tcPr>
          <w:p>
            <w:pPr>
              <w:pStyle w:val="Compact"/>
              <w:spacing w:after="20" w:before="20"/>
              <w:jc w:val="left"/>
            </w:pPr>
            <w:r>
              <w:rPr>
                <w:sz w:val="17"/>
              </w:rPr>
              <w:t xml:space="preserve">Allowed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T13</w:t>
            </w:r>
          </w:p>
        </w:tc>
        <w:tc>
          <w:tcPr>
            <w:tcW w:type="dxa" w:w="3548"/>
          </w:tcPr>
          <w:p>
            <w:pPr>
              <w:pStyle w:val="Compact"/>
              <w:spacing w:after="20" w:before="20"/>
              <w:jc w:val="left"/>
            </w:pPr>
            <w:r>
              <w:rPr>
                <w:sz w:val="17"/>
              </w:rPr>
              <w:t xml:space="preserve">Copy text from labeled file, paste in another document / Notepad</w:t>
            </w:r>
          </w:p>
        </w:tc>
        <w:tc>
          <w:tcPr>
            <w:tcW w:type="dxa" w:w="2579"/>
          </w:tcPr>
          <w:p>
            <w:pPr>
              <w:pStyle w:val="Compact"/>
              <w:spacing w:after="20" w:before="20"/>
              <w:jc w:val="left"/>
            </w:pPr>
            <w:r>
              <w:rPr>
                <w:sz w:val="17"/>
              </w:rPr>
              <w:t xml:space="preserve">Copy 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T14</w:t>
            </w:r>
          </w:p>
        </w:tc>
        <w:tc>
          <w:tcPr>
            <w:tcW w:type="dxa" w:w="3548"/>
          </w:tcPr>
          <w:p>
            <w:pPr>
              <w:pStyle w:val="Compact"/>
              <w:spacing w:after="20" w:before="20"/>
              <w:jc w:val="left"/>
            </w:pPr>
            <w:r>
              <w:rPr>
                <w:sz w:val="17"/>
              </w:rPr>
              <w:t xml:space="preserve">Paste text containing a test SIT match (≥ 30 chars) into an unsanctioned website</w:t>
            </w:r>
          </w:p>
        </w:tc>
        <w:tc>
          <w:tcPr>
            <w:tcW w:type="dxa" w:w="2579"/>
          </w:tcPr>
          <w:p>
            <w:pPr>
              <w:pStyle w:val="Compact"/>
              <w:spacing w:after="20" w:before="20"/>
              <w:jc w:val="left"/>
            </w:pPr>
            <w:r>
              <w:rPr>
                <w:sz w:val="17"/>
              </w:rPr>
              <w:t xml:space="preserve">Blocked or override per group</w:t>
            </w:r>
          </w:p>
        </w:tc>
        <w:tc>
          <w:tcPr>
            <w:tcW w:type="dxa" w:w="1665"/>
          </w:tcPr>
          <w:p>
            <w:pPr>
              <w:pStyle w:val="Compact"/>
              <w:spacing w:after="20" w:before="20"/>
              <w:jc w:val="left"/>
            </w:pPr>
            <w:r>
              <w:rPr>
                <w:sz w:val="17"/>
              </w:rPr>
              <w:t xml:space="preserve">same</w:t>
            </w:r>
          </w:p>
        </w:tc>
        <w:tc>
          <w:tcPr>
            <w:tcW w:type="dxa" w:w="1458"/>
          </w:tcPr>
          <w:p>
            <w:pPr>
              <w:pStyle w:val="Compact"/>
              <w:spacing w:after="20" w:before="20"/>
              <w:jc w:val="left"/>
            </w:pPr>
            <w:r>
              <w:rPr>
                <w:sz w:val="17"/>
              </w:rPr>
              <w:t xml:space="preserve">same (SIT-based)</w:t>
            </w:r>
          </w:p>
        </w:tc>
      </w:tr>
      <w:tr>
        <w:tc>
          <w:tcPr>
            <w:tcW w:type="dxa" w:w="615"/>
          </w:tcPr>
          <w:p>
            <w:pPr>
              <w:pStyle w:val="Compact"/>
              <w:spacing w:after="20" w:before="20"/>
              <w:jc w:val="left"/>
            </w:pPr>
            <w:r>
              <w:rPr>
                <w:sz w:val="17"/>
              </w:rPr>
              <w:t xml:space="preserve">T15</w:t>
            </w:r>
          </w:p>
        </w:tc>
        <w:tc>
          <w:tcPr>
            <w:tcW w:type="dxa" w:w="3548"/>
          </w:tcPr>
          <w:p>
            <w:pPr>
              <w:pStyle w:val="Compact"/>
              <w:spacing w:after="20" w:before="20"/>
              <w:jc w:val="left"/>
            </w:pPr>
            <w:r>
              <w:rPr>
                <w:sz w:val="17"/>
              </w:rPr>
              <w:t xml:space="preserve">Paste the same text into SharePoint</w:t>
            </w:r>
          </w:p>
        </w:tc>
        <w:tc>
          <w:tcPr>
            <w:tcW w:type="dxa" w:w="2579"/>
          </w:tcPr>
          <w:p>
            <w:pPr>
              <w:pStyle w:val="Compact"/>
              <w:spacing w:after="20" w:before="20"/>
              <w:jc w:val="left"/>
            </w:pPr>
            <w:r>
              <w:rPr>
                <w:sz w:val="17"/>
              </w:rPr>
              <w:t xml:space="preserve">Allowed</w:t>
            </w:r>
          </w:p>
        </w:tc>
        <w:tc>
          <w:tcPr>
            <w:tcW w:type="dxa" w:w="1665"/>
          </w:tcPr>
          <w:p>
            <w:pPr>
              <w:pStyle w:val="Compact"/>
              <w:spacing w:after="20" w:before="20"/>
              <w:jc w:val="left"/>
            </w:pPr>
            <w:r>
              <w:rPr>
                <w:sz w:val="17"/>
              </w:rPr>
              <w:t xml:space="preserve">Allowed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T16</w:t>
            </w:r>
          </w:p>
        </w:tc>
        <w:tc>
          <w:tcPr>
            <w:tcW w:type="dxa" w:w="3548"/>
          </w:tcPr>
          <w:p>
            <w:pPr>
              <w:pStyle w:val="Compact"/>
              <w:spacing w:after="20" w:before="20"/>
              <w:jc w:val="left"/>
            </w:pPr>
            <w:r>
              <w:rPr>
                <w:sz w:val="17"/>
              </w:rPr>
              <w:t xml:space="preserve">Upload labeled file via FTP client to NAS (Windows)</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T17</w:t>
            </w:r>
          </w:p>
        </w:tc>
        <w:tc>
          <w:tcPr>
            <w:tcW w:type="dxa" w:w="3548"/>
          </w:tcPr>
          <w:p>
            <w:pPr>
              <w:pStyle w:val="Compact"/>
              <w:spacing w:after="20" w:before="20"/>
              <w:jc w:val="left"/>
            </w:pPr>
            <w:r>
              <w:rPr>
                <w:sz w:val="17"/>
              </w:rPr>
              <w:t xml:space="preserve">Password-protected zip of labeled file to unsanctioned share</w:t>
            </w:r>
          </w:p>
        </w:tc>
        <w:tc>
          <w:tcPr>
            <w:tcW w:type="dxa" w:w="2579"/>
          </w:tcPr>
          <w:p>
            <w:pPr>
              <w:pStyle w:val="Compact"/>
              <w:spacing w:after="20" w:before="20"/>
              <w:jc w:val="left"/>
            </w:pPr>
            <w:r>
              <w:rPr>
                <w:sz w:val="17"/>
              </w:rPr>
              <w:t xml:space="preserve">Override prompt (unscannable)</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Override prompt</w:t>
            </w:r>
          </w:p>
        </w:tc>
      </w:tr>
      <w:tr>
        <w:tc>
          <w:tcPr>
            <w:tcW w:type="dxa" w:w="615"/>
          </w:tcPr>
          <w:p>
            <w:pPr>
              <w:pStyle w:val="Compact"/>
              <w:spacing w:after="20" w:before="20"/>
              <w:jc w:val="left"/>
            </w:pPr>
            <w:r>
              <w:rPr>
                <w:sz w:val="17"/>
              </w:rPr>
              <w:t xml:space="preserve">T18</w:t>
            </w:r>
          </w:p>
        </w:tc>
        <w:tc>
          <w:tcPr>
            <w:tcW w:type="dxa" w:w="3548"/>
          </w:tcPr>
          <w:p>
            <w:pPr>
              <w:pStyle w:val="Compact"/>
              <w:spacing w:after="20" w:before="20"/>
              <w:jc w:val="left"/>
            </w:pPr>
            <w:r>
              <w:rPr>
                <w:sz w:val="17"/>
              </w:rPr>
              <w:t xml:space="preserve">Create, label, and immediately copy to unsanctioned share</w:t>
            </w:r>
          </w:p>
        </w:tc>
        <w:tc>
          <w:tcPr>
            <w:tcW w:type="dxa" w:w="2579"/>
          </w:tcPr>
          <w:p>
            <w:pPr>
              <w:pStyle w:val="Compact"/>
              <w:spacing w:after="20" w:before="20"/>
              <w:jc w:val="left"/>
            </w:pPr>
            <w:r>
              <w:rPr>
                <w:sz w:val="17"/>
              </w:rPr>
              <w:t xml:space="preserve">Held by JIT, then blocked</w:t>
            </w:r>
          </w:p>
        </w:tc>
        <w:tc>
          <w:tcPr>
            <w:tcW w:type="dxa" w:w="1665"/>
          </w:tcPr>
          <w:p>
            <w:pPr>
              <w:pStyle w:val="Compact"/>
              <w:spacing w:after="20" w:before="20"/>
              <w:jc w:val="left"/>
            </w:pPr>
            <w:r>
              <w:rPr>
                <w:sz w:val="17"/>
              </w:rPr>
              <w:t xml:space="preserve">Held, then override</w:t>
            </w:r>
          </w:p>
        </w:tc>
        <w:tc>
          <w:tcPr>
            <w:tcW w:type="dxa" w:w="1458"/>
          </w:tcPr>
          <w:p>
            <w:pPr>
              <w:pStyle w:val="Compact"/>
              <w:spacing w:after="20" w:before="20"/>
              <w:jc w:val="left"/>
            </w:pPr>
            <w:r>
              <w:rPr>
                <w:sz w:val="17"/>
              </w:rPr>
              <w:t xml:space="preserve">Held, then allowed</w:t>
            </w:r>
          </w:p>
        </w:tc>
      </w:tr>
      <w:tr>
        <w:tc>
          <w:tcPr>
            <w:tcW w:type="dxa" w:w="615"/>
          </w:tcPr>
          <w:p>
            <w:pPr>
              <w:pStyle w:val="Compact"/>
              <w:spacing w:after="20" w:before="20"/>
              <w:jc w:val="left"/>
            </w:pPr>
            <w:r>
              <w:rPr>
                <w:sz w:val="17"/>
              </w:rPr>
              <w:t xml:space="preserve">T19</w:t>
            </w:r>
          </w:p>
        </w:tc>
        <w:tc>
          <w:tcPr>
            <w:tcW w:type="dxa" w:w="3548"/>
          </w:tcPr>
          <w:p>
            <w:pPr>
              <w:pStyle w:val="Compact"/>
              <w:spacing w:after="20" w:before="20"/>
              <w:jc w:val="left"/>
            </w:pPr>
            <w:r>
              <w:rPr>
                <w:sz w:val="17"/>
              </w:rPr>
              <w:t xml:space="preserve">All of the above appear in Activity explorer with destination; Tier 3 events carry evidence file</w:t>
            </w:r>
          </w:p>
        </w:tc>
        <w:tc>
          <w:tcPr>
            <w:tcW w:type="dxa" w:w="2579"/>
          </w:tcPr>
          <w:p>
            <w:pPr>
              <w:pStyle w:val="Compact"/>
              <w:spacing w:after="20" w:before="20"/>
              <w:jc w:val="left"/>
            </w:pPr>
            <w:r>
              <w:rPr>
                <w:sz w:val="17"/>
              </w:rPr>
              <w:t xml:space="preserve">Yes</w:t>
            </w:r>
          </w:p>
        </w:tc>
        <w:tc>
          <w:tcPr>
            <w:tcW w:type="dxa" w:w="1665"/>
          </w:tcPr>
          <w:p>
            <w:pPr>
              <w:pStyle w:val="Compact"/>
              <w:spacing w:after="20" w:before="20"/>
              <w:jc w:val="left"/>
            </w:pPr>
            <w:r>
              <w:rPr>
                <w:sz w:val="17"/>
              </w:rPr>
              <w:t xml:space="preserve">Yes</w:t>
            </w:r>
          </w:p>
        </w:tc>
        <w:tc>
          <w:tcPr>
            <w:tcW w:type="dxa" w:w="1458"/>
          </w:tcPr>
          <w:p>
            <w:pPr>
              <w:pStyle w:val="Compact"/>
              <w:spacing w:after="20" w:before="20"/>
              <w:jc w:val="left"/>
            </w:pPr>
            <w:r>
              <w:rPr>
                <w:sz w:val="17"/>
              </w:rPr>
              <w:t xml:space="preserve">Audit only</w:t>
            </w:r>
          </w:p>
        </w:tc>
      </w:tr>
      <w:tr>
        <w:tc>
          <w:tcPr>
            <w:tcW w:type="dxa" w:w="615"/>
          </w:tcPr>
          <w:p>
            <w:pPr>
              <w:pStyle w:val="Compact"/>
              <w:spacing w:after="20" w:before="20"/>
              <w:jc w:val="left"/>
            </w:pPr>
            <w:r>
              <w:rPr>
                <w:sz w:val="17"/>
              </w:rPr>
              <w:t xml:space="preserve">T20</w:t>
            </w:r>
          </w:p>
        </w:tc>
        <w:tc>
          <w:tcPr>
            <w:tcW w:type="dxa" w:w="3548"/>
          </w:tcPr>
          <w:p>
            <w:pPr>
              <w:pStyle w:val="Compact"/>
              <w:spacing w:after="20" w:before="20"/>
              <w:jc w:val="left"/>
            </w:pPr>
            <w:r>
              <w:rPr>
                <w:sz w:val="17"/>
              </w:rPr>
              <w:t xml:space="preserve">Device offline (Windows): T01 still blocked</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T21</w:t>
            </w:r>
          </w:p>
        </w:tc>
        <w:tc>
          <w:tcPr>
            <w:tcW w:type="dxa" w:w="3548"/>
          </w:tcPr>
          <w:p>
            <w:pPr>
              <w:pStyle w:val="Compact"/>
              <w:spacing w:after="20" w:before="20"/>
              <w:jc w:val="left"/>
            </w:pPr>
            <w:r>
              <w:rPr>
                <w:sz w:val="17"/>
              </w:rPr>
              <w:t xml:space="preserve">Windows File History to lab NAS with labeled file in Documents</w:t>
            </w:r>
          </w:p>
        </w:tc>
        <w:tc>
          <w:tcPr>
            <w:tcW w:type="dxa" w:w="2579"/>
          </w:tcPr>
          <w:p>
            <w:pPr>
              <w:pStyle w:val="Compact"/>
              <w:spacing w:after="20" w:before="20"/>
              <w:jc w:val="left"/>
            </w:pPr>
            <w:r>
              <w:rPr>
                <w:sz w:val="17"/>
              </w:rPr>
              <w:t xml:space="preserve">Blocked or audited (record actual behavior)</w:t>
            </w:r>
          </w:p>
        </w:tc>
        <w:tc>
          <w:tcPr>
            <w:tcW w:type="dxa" w:w="1665"/>
          </w:tcPr>
          <w:p>
            <w:pPr>
              <w:pStyle w:val="Compact"/>
              <w:spacing w:after="20" w:before="20"/>
              <w:jc w:val="left"/>
            </w:pPr>
            <w:r>
              <w:rPr>
                <w:sz w:val="17"/>
              </w:rPr>
              <w:t xml:space="preserve">Record</w:t>
            </w:r>
          </w:p>
        </w:tc>
        <w:tc>
          <w:tcPr>
            <w:tcW w:type="dxa" w:w="1458"/>
          </w:tcPr>
          <w:p>
            <w:pPr>
              <w:pStyle w:val="Compact"/>
              <w:spacing w:after="20" w:before="20"/>
              <w:jc w:val="left"/>
            </w:pPr>
            <w:r>
              <w:rPr>
                <w:sz w:val="17"/>
              </w:rPr>
              <w:t xml:space="preserve">Allowed</w:t>
            </w:r>
          </w:p>
        </w:tc>
      </w:tr>
      <w:tr>
        <w:tc>
          <w:tcPr>
            <w:tcW w:type="dxa" w:w="615"/>
          </w:tcPr>
          <w:p>
            <w:pPr>
              <w:pStyle w:val="Compact"/>
              <w:spacing w:after="20" w:before="20"/>
              <w:jc w:val="left"/>
            </w:pPr>
            <w:r>
              <w:rPr>
                <w:sz w:val="17"/>
              </w:rPr>
              <w:t xml:space="preserve">T22</w:t>
            </w:r>
          </w:p>
        </w:tc>
        <w:tc>
          <w:tcPr>
            <w:tcW w:type="dxa" w:w="3548"/>
          </w:tcPr>
          <w:p>
            <w:pPr>
              <w:pStyle w:val="Compact"/>
              <w:spacing w:after="20" w:before="20"/>
              <w:jc w:val="left"/>
            </w:pPr>
            <w:r>
              <w:rPr>
                <w:sz w:val="17"/>
              </w:rPr>
              <w:t xml:space="preserve">NAS vendor backup agent installed and pointed at lab NAS</w:t>
            </w:r>
          </w:p>
        </w:tc>
        <w:tc>
          <w:tcPr>
            <w:tcW w:type="dxa" w:w="2579"/>
          </w:tcPr>
          <w:p>
            <w:pPr>
              <w:pStyle w:val="Compact"/>
              <w:spacing w:after="20" w:before="20"/>
              <w:jc w:val="left"/>
            </w:pPr>
            <w:r>
              <w:rPr>
                <w:sz w:val="17"/>
              </w:rPr>
              <w:t xml:space="preserve">Agent access blocked, quarantine</w:t>
            </w:r>
          </w:p>
        </w:tc>
        <w:tc>
          <w:tcPr>
            <w:tcW w:type="dxa" w:w="1665"/>
          </w:tcPr>
          <w:p>
            <w:pPr>
              <w:pStyle w:val="Compact"/>
              <w:spacing w:after="20" w:before="20"/>
              <w:jc w:val="left"/>
            </w:pPr>
            <w:r>
              <w:rPr>
                <w:sz w:val="17"/>
              </w:rPr>
              <w:t xml:space="preserve">Blocked</w:t>
            </w:r>
          </w:p>
        </w:tc>
        <w:tc>
          <w:tcPr>
            <w:tcW w:type="dxa" w:w="1458"/>
          </w:tcPr>
          <w:p>
            <w:pPr>
              <w:pStyle w:val="Compact"/>
              <w:spacing w:after="20" w:before="20"/>
              <w:jc w:val="left"/>
            </w:pPr>
            <w:r>
              <w:rPr>
                <w:sz w:val="17"/>
              </w:rPr>
              <w:t xml:space="preserve">Backed up</w:t>
            </w:r>
          </w:p>
        </w:tc>
      </w:tr>
      <w:tr>
        <w:tc>
          <w:tcPr>
            <w:tcW w:type="dxa" w:w="615"/>
          </w:tcPr>
          <w:p>
            <w:pPr>
              <w:pStyle w:val="Compact"/>
              <w:spacing w:after="20" w:before="20"/>
              <w:jc w:val="left"/>
            </w:pPr>
            <w:r>
              <w:rPr>
                <w:sz w:val="17"/>
              </w:rPr>
              <w:t xml:space="preserve">T23</w:t>
            </w:r>
          </w:p>
        </w:tc>
        <w:tc>
          <w:tcPr>
            <w:tcW w:type="dxa" w:w="3548"/>
          </w:tcPr>
          <w:p>
            <w:pPr>
              <w:pStyle w:val="Compact"/>
              <w:spacing w:after="20" w:before="20"/>
              <w:jc w:val="left"/>
            </w:pPr>
            <w:r>
              <w:rPr>
                <w:sz w:val="17"/>
              </w:rPr>
              <w:t xml:space="preserve">macOS Time Machine to lab NAS</w:t>
            </w:r>
          </w:p>
        </w:tc>
        <w:tc>
          <w:tcPr>
            <w:tcW w:type="dxa" w:w="2579"/>
          </w:tcPr>
          <w:p>
            <w:pPr>
              <w:pStyle w:val="Compact"/>
              <w:spacing w:after="20" w:before="20"/>
              <w:jc w:val="left"/>
            </w:pPr>
            <w:r>
              <w:rPr>
                <w:sz w:val="17"/>
              </w:rPr>
              <w:t xml:space="preserve">Not caught by DLP (expected); MDM profile prevents selecting network destination</w:t>
            </w:r>
          </w:p>
        </w:tc>
        <w:tc>
          <w:tcPr>
            <w:tcW w:type="dxa" w:w="1665"/>
          </w:tcPr>
          <w:p>
            <w:pPr>
              <w:pStyle w:val="Compact"/>
              <w:spacing w:after="20" w:before="20"/>
              <w:jc w:val="left"/>
            </w:pPr>
            <w:r>
              <w:rPr>
                <w:sz w:val="17"/>
              </w:rPr>
              <w:t xml:space="preserve">same</w:t>
            </w:r>
          </w:p>
        </w:tc>
        <w:tc>
          <w:tcPr>
            <w:tcW w:type="dxa" w:w="1458"/>
          </w:tcPr>
          <w:p>
            <w:pPr>
              <w:pStyle w:val="Compact"/>
              <w:spacing w:after="20" w:before="20"/>
              <w:jc w:val="left"/>
            </w:pPr>
            <w:r>
              <w:rPr>
                <w:sz w:val="17"/>
              </w:rPr>
              <w:t xml:space="preserve">same</w:t>
            </w:r>
          </w:p>
        </w:tc>
      </w:tr>
      <w:tr>
        <w:tc>
          <w:tcPr>
            <w:tcW w:type="dxa" w:w="615"/>
          </w:tcPr>
          <w:p>
            <w:pPr>
              <w:pStyle w:val="Compact"/>
              <w:spacing w:after="20" w:before="20"/>
              <w:jc w:val="left"/>
            </w:pPr>
            <w:r>
              <w:rPr>
                <w:sz w:val="17"/>
              </w:rPr>
              <w:t xml:space="preserve">T24</w:t>
            </w:r>
          </w:p>
        </w:tc>
        <w:tc>
          <w:tcPr>
            <w:tcW w:type="dxa" w:w="3548"/>
          </w:tcPr>
          <w:p>
            <w:pPr>
              <w:pStyle w:val="Compact"/>
              <w:spacing w:after="20" w:before="20"/>
              <w:jc w:val="left"/>
            </w:pPr>
            <w:r>
              <w:rPr>
                <w:sz w:val="17"/>
              </w:rPr>
              <w:t xml:space="preserve">Hotspot / travel: upload to relay portal from a non-home network</w:t>
            </w:r>
          </w:p>
        </w:tc>
        <w:tc>
          <w:tcPr>
            <w:tcW w:type="dxa" w:w="2579"/>
          </w:tcPr>
          <w:p>
            <w:pPr>
              <w:pStyle w:val="Compact"/>
              <w:spacing w:after="20" w:before="20"/>
              <w:jc w:val="left"/>
            </w:pPr>
            <w:r>
              <w:rPr>
                <w:sz w:val="17"/>
              </w:rPr>
              <w:t xml:space="preserve">Blocked</w:t>
            </w:r>
          </w:p>
        </w:tc>
        <w:tc>
          <w:tcPr>
            <w:tcW w:type="dxa" w:w="1665"/>
          </w:tcPr>
          <w:p>
            <w:pPr>
              <w:pStyle w:val="Compact"/>
              <w:spacing w:after="20" w:before="20"/>
              <w:jc w:val="left"/>
            </w:pPr>
            <w:r>
              <w:rPr>
                <w:sz w:val="17"/>
              </w:rPr>
              <w:t xml:space="preserve">Override prompt</w:t>
            </w:r>
          </w:p>
        </w:tc>
        <w:tc>
          <w:tcPr>
            <w:tcW w:type="dxa" w:w="1458"/>
          </w:tcPr>
          <w:p>
            <w:pPr>
              <w:pStyle w:val="Compact"/>
              <w:spacing w:after="20" w:before="20"/>
              <w:jc w:val="left"/>
            </w:pPr>
            <w:r>
              <w:rPr>
                <w:sz w:val="17"/>
              </w:rPr>
              <w:t xml:space="preserve">Allowed</w:t>
            </w:r>
          </w:p>
        </w:tc>
      </w:tr>
    </w:tbl>
    <w:p>
      <w:pPr>
        <w:pStyle w:val="BodyText"/>
      </w:pPr>
      <w:r>
        <w:t xml:space="preserve">Acceptance: 100 % of Tier 3 cases pass on Windows; all documented macOS-supported cases pass on macOS; every macOS gap is listed in the residual risk register with a compensating control. The red-team cases in 9.1 must pass, or carry a signed risk acceptance, before Phase 5 Ring 2.</w:t>
      </w:r>
    </w:p>
    <w:bookmarkStart w:id="60" w:name="X508a7fb63b39e82724387692dd195f518549ee3"/>
    <w:p>
      <w:pPr>
        <w:pStyle w:val="Heading3"/>
      </w:pPr>
      <w:r>
        <w:t xml:space="preserve">9.1 Red-team validation cases (added in v0.3)</w:t>
      </w:r>
    </w:p>
    <w:p>
      <w:pPr>
        <w:pStyle w:val="FirstParagraph"/>
      </w:pPr>
      <w:r>
        <w:t xml:space="preserve">These cases test the bypass paths in Annex A. Run them on the lab home network as a standard user without local administrator rights, and record the actual result even when it is a failure.</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15"/>
        <w:gridCol w:w="4333"/>
        <w:gridCol w:w="3880"/>
        <w:gridCol w:w="1037"/>
      </w:tblGrid>
      <w:tr>
        <w:trPr>
          <w:tblHeader w:val="true"/>
          <w:tblHeader w:val="true"/>
        </w:trPr>
        <w:tc>
          <w:tcPr>
            <w:tcW w:type="dxa" w:w="615"/>
            <w:shd w:val="clear" w:color="auto" w:fill="DCE6F1"/>
          </w:tcPr>
          <w:p>
            <w:pPr>
              <w:pStyle w:val="Compact"/>
              <w:spacing w:after="20" w:before="20"/>
              <w:jc w:val="left"/>
            </w:pPr>
            <w:r>
              <w:rPr>
                <w:b/>
                <w:sz w:val="17"/>
              </w:rPr>
              <w:t xml:space="preserve">ID</w:t>
            </w:r>
          </w:p>
        </w:tc>
        <w:tc>
          <w:tcPr>
            <w:tcW w:type="dxa" w:w="4333"/>
            <w:shd w:val="clear" w:color="auto" w:fill="DCE6F1"/>
          </w:tcPr>
          <w:p>
            <w:pPr>
              <w:pStyle w:val="Compact"/>
              <w:spacing w:after="20" w:before="20"/>
              <w:jc w:val="left"/>
            </w:pPr>
            <w:r>
              <w:rPr>
                <w:b/>
                <w:sz w:val="17"/>
              </w:rPr>
              <w:t xml:space="preserve">Steps</w:t>
            </w:r>
          </w:p>
        </w:tc>
        <w:tc>
          <w:tcPr>
            <w:tcW w:type="dxa" w:w="3880"/>
            <w:shd w:val="clear" w:color="auto" w:fill="DCE6F1"/>
          </w:tcPr>
          <w:p>
            <w:pPr>
              <w:pStyle w:val="Compact"/>
              <w:spacing w:after="20" w:before="20"/>
              <w:jc w:val="left"/>
            </w:pPr>
            <w:r>
              <w:rPr>
                <w:b/>
                <w:sz w:val="17"/>
              </w:rPr>
              <w:t xml:space="preserve">Expected result once the Annex A fix is in place</w:t>
            </w:r>
          </w:p>
        </w:tc>
        <w:tc>
          <w:tcPr>
            <w:tcW w:type="dxa" w:w="1037"/>
            <w:shd w:val="clear" w:color="auto" w:fill="DCE6F1"/>
          </w:tcPr>
          <w:p>
            <w:pPr>
              <w:pStyle w:val="Compact"/>
              <w:spacing w:after="20" w:before="20"/>
              <w:jc w:val="left"/>
            </w:pPr>
            <w:r>
              <w:rPr>
                <w:b/>
                <w:sz w:val="17"/>
              </w:rPr>
              <w:t xml:space="preserve">Finding</w:t>
            </w:r>
          </w:p>
        </w:tc>
      </w:tr>
      <w:tr>
        <w:tc>
          <w:tcPr>
            <w:tcW w:type="dxa" w:w="615"/>
          </w:tcPr>
          <w:p>
            <w:pPr>
              <w:pStyle w:val="Compact"/>
              <w:spacing w:after="20" w:before="20"/>
              <w:jc w:val="left"/>
            </w:pPr>
            <w:r>
              <w:rPr>
                <w:sz w:val="17"/>
              </w:rPr>
              <w:t xml:space="preserve">T25</w:t>
            </w:r>
          </w:p>
        </w:tc>
        <w:tc>
          <w:tcPr>
            <w:tcW w:type="dxa" w:w="4333"/>
          </w:tcPr>
          <w:p>
            <w:pPr>
              <w:pStyle w:val="Compact"/>
              <w:spacing w:after="20" w:before="20"/>
              <w:jc w:val="left"/>
            </w:pPr>
            <w:r>
              <w:rPr>
                <w:sz w:val="17"/>
              </w:rPr>
              <w:t xml:space="preserve">Upload a Tier 3 file to the user's own OneDrive, then try to open and download it from an unmanaged personal computer</w:t>
            </w:r>
          </w:p>
        </w:tc>
        <w:tc>
          <w:tcPr>
            <w:tcW w:type="dxa" w:w="3880"/>
          </w:tcPr>
          <w:p>
            <w:pPr>
              <w:pStyle w:val="Compact"/>
              <w:spacing w:after="20" w:before="20"/>
              <w:jc w:val="left"/>
            </w:pPr>
            <w:r>
              <w:rPr>
                <w:sz w:val="17"/>
              </w:rPr>
              <w:t xml:space="preserve">Access blocked, or web-only access with download blocked</w:t>
            </w:r>
          </w:p>
        </w:tc>
        <w:tc>
          <w:tcPr>
            <w:tcW w:type="dxa" w:w="1037"/>
          </w:tcPr>
          <w:p>
            <w:pPr>
              <w:pStyle w:val="Compact"/>
              <w:spacing w:after="20" w:before="20"/>
              <w:jc w:val="left"/>
            </w:pPr>
            <w:r>
              <w:rPr>
                <w:sz w:val="17"/>
              </w:rPr>
              <w:t xml:space="preserve">RT-01</w:t>
            </w:r>
          </w:p>
        </w:tc>
      </w:tr>
      <w:tr>
        <w:tc>
          <w:tcPr>
            <w:tcW w:type="dxa" w:w="615"/>
          </w:tcPr>
          <w:p>
            <w:pPr>
              <w:pStyle w:val="Compact"/>
              <w:spacing w:after="20" w:before="20"/>
              <w:jc w:val="left"/>
            </w:pPr>
            <w:r>
              <w:rPr>
                <w:sz w:val="17"/>
              </w:rPr>
              <w:t xml:space="preserve">T26</w:t>
            </w:r>
          </w:p>
        </w:tc>
        <w:tc>
          <w:tcPr>
            <w:tcW w:type="dxa" w:w="4333"/>
          </w:tcPr>
          <w:p>
            <w:pPr>
              <w:pStyle w:val="Compact"/>
              <w:spacing w:after="20" w:before="20"/>
              <w:jc w:val="left"/>
            </w:pPr>
            <w:r>
              <w:rPr>
                <w:sz w:val="17"/>
              </w:rPr>
              <w:t xml:space="preserve">Upload a Tier 3 file to a SharePoint site in a separate test tenant, and to a personal Microsoft account through the browser</w:t>
            </w:r>
          </w:p>
        </w:tc>
        <w:tc>
          <w:tcPr>
            <w:tcW w:type="dxa" w:w="3880"/>
          </w:tcPr>
          <w:p>
            <w:pPr>
              <w:pStyle w:val="Compact"/>
              <w:spacing w:after="20" w:before="20"/>
              <w:jc w:val="left"/>
            </w:pPr>
            <w:r>
              <w:rPr>
                <w:sz w:val="17"/>
              </w:rPr>
              <w:t xml:space="preserve">Sign-in to the foreign tenant or consumer account blocked by tenant restrictions v2</w:t>
            </w:r>
          </w:p>
        </w:tc>
        <w:tc>
          <w:tcPr>
            <w:tcW w:type="dxa" w:w="1037"/>
          </w:tcPr>
          <w:p>
            <w:pPr>
              <w:pStyle w:val="Compact"/>
              <w:spacing w:after="20" w:before="20"/>
              <w:jc w:val="left"/>
            </w:pPr>
            <w:r>
              <w:rPr>
                <w:sz w:val="17"/>
              </w:rPr>
              <w:t xml:space="preserve">RT-02</w:t>
            </w:r>
          </w:p>
        </w:tc>
      </w:tr>
      <w:tr>
        <w:tc>
          <w:tcPr>
            <w:tcW w:type="dxa" w:w="615"/>
          </w:tcPr>
          <w:p>
            <w:pPr>
              <w:pStyle w:val="Compact"/>
              <w:spacing w:after="20" w:before="20"/>
              <w:jc w:val="left"/>
            </w:pPr>
            <w:r>
              <w:rPr>
                <w:sz w:val="17"/>
              </w:rPr>
              <w:t xml:space="preserve">T27</w:t>
            </w:r>
          </w:p>
        </w:tc>
        <w:tc>
          <w:tcPr>
            <w:tcW w:type="dxa" w:w="4333"/>
          </w:tcPr>
          <w:p>
            <w:pPr>
              <w:pStyle w:val="Compact"/>
              <w:spacing w:after="20" w:before="20"/>
              <w:jc w:val="left"/>
            </w:pPr>
            <w:r>
              <w:rPr>
                <w:sz w:val="17"/>
              </w:rPr>
              <w:t xml:space="preserve">Sign the OneDrive sync client in to a personal account and to a test-tenant account</w:t>
            </w:r>
          </w:p>
        </w:tc>
        <w:tc>
          <w:tcPr>
            <w:tcW w:type="dxa" w:w="3880"/>
          </w:tcPr>
          <w:p>
            <w:pPr>
              <w:pStyle w:val="Compact"/>
              <w:spacing w:after="20" w:before="20"/>
              <w:jc w:val="left"/>
            </w:pPr>
            <w:r>
              <w:rPr>
                <w:sz w:val="17"/>
              </w:rPr>
              <w:t xml:space="preserve">Account cannot be added; sync refused</w:t>
            </w:r>
          </w:p>
        </w:tc>
        <w:tc>
          <w:tcPr>
            <w:tcW w:type="dxa" w:w="1037"/>
          </w:tcPr>
          <w:p>
            <w:pPr>
              <w:pStyle w:val="Compact"/>
              <w:spacing w:after="20" w:before="20"/>
              <w:jc w:val="left"/>
            </w:pPr>
            <w:r>
              <w:rPr>
                <w:sz w:val="17"/>
              </w:rPr>
              <w:t xml:space="preserve">RT-02</w:t>
            </w:r>
          </w:p>
        </w:tc>
      </w:tr>
      <w:tr>
        <w:tc>
          <w:tcPr>
            <w:tcW w:type="dxa" w:w="615"/>
          </w:tcPr>
          <w:p>
            <w:pPr>
              <w:pStyle w:val="Compact"/>
              <w:spacing w:after="20" w:before="20"/>
              <w:jc w:val="left"/>
            </w:pPr>
            <w:r>
              <w:rPr>
                <w:sz w:val="17"/>
              </w:rPr>
              <w:t xml:space="preserve">T28</w:t>
            </w:r>
          </w:p>
        </w:tc>
        <w:tc>
          <w:tcPr>
            <w:tcW w:type="dxa" w:w="4333"/>
          </w:tcPr>
          <w:p>
            <w:pPr>
              <w:pStyle w:val="Compact"/>
              <w:spacing w:after="20" w:before="20"/>
              <w:jc w:val="left"/>
            </w:pPr>
            <w:r>
              <w:rPr>
                <w:sz w:val="17"/>
              </w:rPr>
              <w:t xml:space="preserve">Send a Tier 3 file from Outlook on the web and from Outlook desktop to an external personal address</w:t>
            </w:r>
          </w:p>
        </w:tc>
        <w:tc>
          <w:tcPr>
            <w:tcW w:type="dxa" w:w="3880"/>
          </w:tcPr>
          <w:p>
            <w:pPr>
              <w:pStyle w:val="Compact"/>
              <w:spacing w:after="20" w:before="20"/>
              <w:jc w:val="left"/>
            </w:pPr>
            <w:r>
              <w:rPr>
                <w:sz w:val="17"/>
              </w:rPr>
              <w:t xml:space="preserve">Blocked by Exchange DLP</w:t>
            </w:r>
          </w:p>
        </w:tc>
        <w:tc>
          <w:tcPr>
            <w:tcW w:type="dxa" w:w="1037"/>
          </w:tcPr>
          <w:p>
            <w:pPr>
              <w:pStyle w:val="Compact"/>
              <w:spacing w:after="20" w:before="20"/>
              <w:jc w:val="left"/>
            </w:pPr>
            <w:r>
              <w:rPr>
                <w:sz w:val="17"/>
              </w:rPr>
              <w:t xml:space="preserve">RT-01</w:t>
            </w:r>
          </w:p>
        </w:tc>
      </w:tr>
      <w:tr>
        <w:tc>
          <w:tcPr>
            <w:tcW w:type="dxa" w:w="615"/>
          </w:tcPr>
          <w:p>
            <w:pPr>
              <w:pStyle w:val="Compact"/>
              <w:spacing w:after="20" w:before="20"/>
              <w:jc w:val="left"/>
            </w:pPr>
            <w:r>
              <w:rPr>
                <w:sz w:val="17"/>
              </w:rPr>
              <w:t xml:space="preserve">T29</w:t>
            </w:r>
          </w:p>
        </w:tc>
        <w:tc>
          <w:tcPr>
            <w:tcW w:type="dxa" w:w="4333"/>
          </w:tcPr>
          <w:p>
            <w:pPr>
              <w:pStyle w:val="Compact"/>
              <w:spacing w:after="20" w:before="20"/>
              <w:jc w:val="left"/>
            </w:pPr>
            <w:r>
              <w:rPr>
                <w:sz w:val="17"/>
              </w:rPr>
              <w:t xml:space="preserve">Lower or remove the label on a Tier 3 file, then copy it to the lab NAS</w:t>
            </w:r>
          </w:p>
        </w:tc>
        <w:tc>
          <w:tcPr>
            <w:tcW w:type="dxa" w:w="3880"/>
          </w:tcPr>
          <w:p>
            <w:pPr>
              <w:pStyle w:val="Compact"/>
              <w:spacing w:after="20" w:before="20"/>
              <w:jc w:val="left"/>
            </w:pPr>
            <w:r>
              <w:rPr>
                <w:sz w:val="17"/>
              </w:rPr>
              <w:t xml:space="preserve">Justification required; downgrade alert raised; result of the copy recorded</w:t>
            </w:r>
          </w:p>
        </w:tc>
        <w:tc>
          <w:tcPr>
            <w:tcW w:type="dxa" w:w="1037"/>
          </w:tcPr>
          <w:p>
            <w:pPr>
              <w:pStyle w:val="Compact"/>
              <w:spacing w:after="20" w:before="20"/>
              <w:jc w:val="left"/>
            </w:pPr>
            <w:r>
              <w:rPr>
                <w:sz w:val="17"/>
              </w:rPr>
              <w:t xml:space="preserve">RT-04</w:t>
            </w:r>
          </w:p>
        </w:tc>
      </w:tr>
      <w:tr>
        <w:tc>
          <w:tcPr>
            <w:tcW w:type="dxa" w:w="615"/>
          </w:tcPr>
          <w:p>
            <w:pPr>
              <w:pStyle w:val="Compact"/>
              <w:spacing w:after="20" w:before="20"/>
              <w:jc w:val="left"/>
            </w:pPr>
            <w:r>
              <w:rPr>
                <w:sz w:val="17"/>
              </w:rPr>
              <w:t xml:space="preserve">T30</w:t>
            </w:r>
          </w:p>
        </w:tc>
        <w:tc>
          <w:tcPr>
            <w:tcW w:type="dxa" w:w="4333"/>
          </w:tcPr>
          <w:p>
            <w:pPr>
              <w:pStyle w:val="Compact"/>
              <w:spacing w:after="20" w:before="20"/>
              <w:jc w:val="left"/>
            </w:pPr>
            <w:r>
              <w:rPr>
                <w:sz w:val="17"/>
              </w:rPr>
              <w:t xml:space="preserve">Upload a Tier 3 file to the lab NAS web interface with a non-browser HTTP client or a third-party transfer utility</w:t>
            </w:r>
          </w:p>
        </w:tc>
        <w:tc>
          <w:tcPr>
            <w:tcW w:type="dxa" w:w="3880"/>
          </w:tcPr>
          <w:p>
            <w:pPr>
              <w:pStyle w:val="Compact"/>
              <w:spacing w:after="20" w:before="20"/>
              <w:jc w:val="left"/>
            </w:pPr>
            <w:r>
              <w:rPr>
                <w:sz w:val="17"/>
              </w:rPr>
              <w:t xml:space="preserve">Tool blocked by application control, or connection blocked by the host firewall. No DLP match is expected; record it</w:t>
            </w:r>
          </w:p>
        </w:tc>
        <w:tc>
          <w:tcPr>
            <w:tcW w:type="dxa" w:w="1037"/>
          </w:tcPr>
          <w:p>
            <w:pPr>
              <w:pStyle w:val="Compact"/>
              <w:spacing w:after="20" w:before="20"/>
              <w:jc w:val="left"/>
            </w:pPr>
            <w:r>
              <w:rPr>
                <w:sz w:val="17"/>
              </w:rPr>
              <w:t xml:space="preserve">RT-03</w:t>
            </w:r>
          </w:p>
        </w:tc>
      </w:tr>
      <w:tr>
        <w:tc>
          <w:tcPr>
            <w:tcW w:type="dxa" w:w="615"/>
          </w:tcPr>
          <w:p>
            <w:pPr>
              <w:pStyle w:val="Compact"/>
              <w:spacing w:after="20" w:before="20"/>
              <w:jc w:val="left"/>
            </w:pPr>
            <w:r>
              <w:rPr>
                <w:sz w:val="17"/>
              </w:rPr>
              <w:t xml:space="preserve">T31</w:t>
            </w:r>
          </w:p>
        </w:tc>
        <w:tc>
          <w:tcPr>
            <w:tcW w:type="dxa" w:w="4333"/>
          </w:tcPr>
          <w:p>
            <w:pPr>
              <w:pStyle w:val="Compact"/>
              <w:spacing w:after="20" w:before="20"/>
              <w:jc w:val="left"/>
            </w:pPr>
            <w:r>
              <w:rPr>
                <w:sz w:val="17"/>
              </w:rPr>
              <w:t xml:space="preserve">Run a renamed copy of an unallowed browser and of a listed sync client</w:t>
            </w:r>
          </w:p>
        </w:tc>
        <w:tc>
          <w:tcPr>
            <w:tcW w:type="dxa" w:w="3880"/>
          </w:tcPr>
          <w:p>
            <w:pPr>
              <w:pStyle w:val="Compact"/>
              <w:spacing w:after="20" w:before="20"/>
              <w:jc w:val="left"/>
            </w:pPr>
            <w:r>
              <w:rPr>
                <w:sz w:val="17"/>
              </w:rPr>
              <w:t xml:space="preserve">Execution blocked by application control</w:t>
            </w:r>
          </w:p>
        </w:tc>
        <w:tc>
          <w:tcPr>
            <w:tcW w:type="dxa" w:w="1037"/>
          </w:tcPr>
          <w:p>
            <w:pPr>
              <w:pStyle w:val="Compact"/>
              <w:spacing w:after="20" w:before="20"/>
              <w:jc w:val="left"/>
            </w:pPr>
            <w:r>
              <w:rPr>
                <w:sz w:val="17"/>
              </w:rPr>
              <w:t xml:space="preserve">RT-11</w:t>
            </w:r>
          </w:p>
        </w:tc>
      </w:tr>
      <w:tr>
        <w:tc>
          <w:tcPr>
            <w:tcW w:type="dxa" w:w="615"/>
          </w:tcPr>
          <w:p>
            <w:pPr>
              <w:pStyle w:val="Compact"/>
              <w:spacing w:after="20" w:before="20"/>
              <w:jc w:val="left"/>
            </w:pPr>
            <w:r>
              <w:rPr>
                <w:sz w:val="17"/>
              </w:rPr>
              <w:t xml:space="preserve">T32</w:t>
            </w:r>
          </w:p>
        </w:tc>
        <w:tc>
          <w:tcPr>
            <w:tcW w:type="dxa" w:w="4333"/>
          </w:tcPr>
          <w:p>
            <w:pPr>
              <w:pStyle w:val="Compact"/>
              <w:spacing w:after="20" w:before="20"/>
              <w:jc w:val="left"/>
            </w:pPr>
            <w:r>
              <w:rPr>
                <w:sz w:val="17"/>
              </w:rPr>
              <w:t xml:space="preserve">Print a Tier 3 file to a PDF or file printer, then copy the output to the lab NAS</w:t>
            </w:r>
          </w:p>
        </w:tc>
        <w:tc>
          <w:tcPr>
            <w:tcW w:type="dxa" w:w="3880"/>
          </w:tcPr>
          <w:p>
            <w:pPr>
              <w:pStyle w:val="Compact"/>
              <w:spacing w:after="20" w:before="20"/>
              <w:jc w:val="left"/>
            </w:pPr>
            <w:r>
              <w:rPr>
                <w:sz w:val="17"/>
              </w:rPr>
              <w:t xml:space="preserve">Print to file blocked</w:t>
            </w:r>
          </w:p>
        </w:tc>
        <w:tc>
          <w:tcPr>
            <w:tcW w:type="dxa" w:w="1037"/>
          </w:tcPr>
          <w:p>
            <w:pPr>
              <w:pStyle w:val="Compact"/>
              <w:spacing w:after="20" w:before="20"/>
              <w:jc w:val="left"/>
            </w:pPr>
            <w:r>
              <w:rPr>
                <w:sz w:val="17"/>
              </w:rPr>
              <w:t xml:space="preserve">RT-05</w:t>
            </w:r>
          </w:p>
        </w:tc>
      </w:tr>
      <w:tr>
        <w:tc>
          <w:tcPr>
            <w:tcW w:type="dxa" w:w="615"/>
          </w:tcPr>
          <w:p>
            <w:pPr>
              <w:pStyle w:val="Compact"/>
              <w:spacing w:after="20" w:before="20"/>
              <w:jc w:val="left"/>
            </w:pPr>
            <w:r>
              <w:rPr>
                <w:sz w:val="17"/>
              </w:rPr>
              <w:t xml:space="preserve">T33</w:t>
            </w:r>
          </w:p>
        </w:tc>
        <w:tc>
          <w:tcPr>
            <w:tcW w:type="dxa" w:w="4333"/>
          </w:tcPr>
          <w:p>
            <w:pPr>
              <w:pStyle w:val="Compact"/>
              <w:spacing w:after="20" w:before="20"/>
              <w:jc w:val="left"/>
            </w:pPr>
            <w:r>
              <w:rPr>
                <w:sz w:val="17"/>
              </w:rPr>
              <w:t xml:space="preserve">Open a Tier 3 file in Word for the web, copy text, and paste it into the lab NAS web interface and into a local document</w:t>
            </w:r>
          </w:p>
        </w:tc>
        <w:tc>
          <w:tcPr>
            <w:tcW w:type="dxa" w:w="3880"/>
          </w:tcPr>
          <w:p>
            <w:pPr>
              <w:pStyle w:val="Compact"/>
              <w:spacing w:after="20" w:before="20"/>
              <w:jc w:val="left"/>
            </w:pPr>
            <w:r>
              <w:rPr>
                <w:sz w:val="17"/>
              </w:rPr>
              <w:t xml:space="preserve">Copy refused because the label withholds the copy right</w:t>
            </w:r>
          </w:p>
        </w:tc>
        <w:tc>
          <w:tcPr>
            <w:tcW w:type="dxa" w:w="1037"/>
          </w:tcPr>
          <w:p>
            <w:pPr>
              <w:pStyle w:val="Compact"/>
              <w:spacing w:after="20" w:before="20"/>
              <w:jc w:val="left"/>
            </w:pPr>
            <w:r>
              <w:rPr>
                <w:sz w:val="17"/>
              </w:rPr>
              <w:t xml:space="preserve">RT-05, RT-06</w:t>
            </w:r>
          </w:p>
        </w:tc>
      </w:tr>
      <w:tr>
        <w:tc>
          <w:tcPr>
            <w:tcW w:type="dxa" w:w="615"/>
          </w:tcPr>
          <w:p>
            <w:pPr>
              <w:pStyle w:val="Compact"/>
              <w:spacing w:after="20" w:before="20"/>
              <w:jc w:val="left"/>
            </w:pPr>
            <w:r>
              <w:rPr>
                <w:sz w:val="17"/>
              </w:rPr>
              <w:t xml:space="preserve">T34</w:t>
            </w:r>
          </w:p>
        </w:tc>
        <w:tc>
          <w:tcPr>
            <w:tcW w:type="dxa" w:w="4333"/>
          </w:tcPr>
          <w:p>
            <w:pPr>
              <w:pStyle w:val="Compact"/>
              <w:spacing w:after="20" w:before="20"/>
              <w:jc w:val="left"/>
            </w:pPr>
            <w:r>
              <w:rPr>
                <w:sz w:val="17"/>
              </w:rPr>
              <w:t xml:space="preserve">Copy a password-protected archive that contains a Tier 3 file to the lab NAS</w:t>
            </w:r>
          </w:p>
        </w:tc>
        <w:tc>
          <w:tcPr>
            <w:tcW w:type="dxa" w:w="3880"/>
          </w:tcPr>
          <w:p>
            <w:pPr>
              <w:pStyle w:val="Compact"/>
              <w:spacing w:after="20" w:before="20"/>
              <w:jc w:val="left"/>
            </w:pPr>
            <w:r>
              <w:rPr>
                <w:sz w:val="17"/>
              </w:rPr>
              <w:t xml:space="preserve">Blocked without override</w:t>
            </w:r>
          </w:p>
        </w:tc>
        <w:tc>
          <w:tcPr>
            <w:tcW w:type="dxa" w:w="1037"/>
          </w:tcPr>
          <w:p>
            <w:pPr>
              <w:pStyle w:val="Compact"/>
              <w:spacing w:after="20" w:before="20"/>
              <w:jc w:val="left"/>
            </w:pPr>
            <w:r>
              <w:rPr>
                <w:sz w:val="17"/>
              </w:rPr>
              <w:t xml:space="preserve">RT-09</w:t>
            </w:r>
          </w:p>
        </w:tc>
      </w:tr>
      <w:tr>
        <w:tc>
          <w:tcPr>
            <w:tcW w:type="dxa" w:w="615"/>
          </w:tcPr>
          <w:p>
            <w:pPr>
              <w:pStyle w:val="Compact"/>
              <w:spacing w:after="20" w:before="20"/>
              <w:jc w:val="left"/>
            </w:pPr>
            <w:r>
              <w:rPr>
                <w:sz w:val="17"/>
              </w:rPr>
              <w:t xml:space="preserve">T35</w:t>
            </w:r>
          </w:p>
        </w:tc>
        <w:tc>
          <w:tcPr>
            <w:tcW w:type="dxa" w:w="4333"/>
          </w:tcPr>
          <w:p>
            <w:pPr>
              <w:pStyle w:val="Compact"/>
              <w:spacing w:after="20" w:before="20"/>
              <w:jc w:val="left"/>
            </w:pPr>
            <w:r>
              <w:rPr>
                <w:sz w:val="17"/>
              </w:rPr>
              <w:t xml:space="preserve">Place a Tier 3 file on the lab NAS, then open it from a personal device signed in with the work account</w:t>
            </w:r>
          </w:p>
        </w:tc>
        <w:tc>
          <w:tcPr>
            <w:tcW w:type="dxa" w:w="3880"/>
          </w:tcPr>
          <w:p>
            <w:pPr>
              <w:pStyle w:val="Compact"/>
              <w:spacing w:after="20" w:before="20"/>
              <w:jc w:val="left"/>
            </w:pPr>
            <w:r>
              <w:rPr>
                <w:sz w:val="17"/>
              </w:rPr>
              <w:t xml:space="preserve">Opening refused by Conditional Access on the Rights Management service</w:t>
            </w:r>
          </w:p>
        </w:tc>
        <w:tc>
          <w:tcPr>
            <w:tcW w:type="dxa" w:w="1037"/>
          </w:tcPr>
          <w:p>
            <w:pPr>
              <w:pStyle w:val="Compact"/>
              <w:spacing w:after="20" w:before="20"/>
              <w:jc w:val="left"/>
            </w:pPr>
            <w:r>
              <w:rPr>
                <w:sz w:val="17"/>
              </w:rPr>
              <w:t xml:space="preserve">RT-06</w:t>
            </w:r>
          </w:p>
        </w:tc>
      </w:tr>
      <w:tr>
        <w:tc>
          <w:tcPr>
            <w:tcW w:type="dxa" w:w="615"/>
          </w:tcPr>
          <w:p>
            <w:pPr>
              <w:pStyle w:val="Compact"/>
              <w:spacing w:after="20" w:before="20"/>
              <w:jc w:val="left"/>
            </w:pPr>
            <w:r>
              <w:rPr>
                <w:sz w:val="17"/>
              </w:rPr>
              <w:t xml:space="preserve">T36</w:t>
            </w:r>
          </w:p>
        </w:tc>
        <w:tc>
          <w:tcPr>
            <w:tcW w:type="dxa" w:w="4333"/>
          </w:tcPr>
          <w:p>
            <w:pPr>
              <w:pStyle w:val="Compact"/>
              <w:spacing w:after="20" w:before="20"/>
              <w:jc w:val="left"/>
            </w:pPr>
            <w:r>
              <w:rPr>
                <w:sz w:val="17"/>
              </w:rPr>
              <w:t xml:space="preserve">Remove a pilot device from its device group; separately remove the browser extension; separately revoke the macOS permission. Repeat T01 and T05 after each change</w:t>
            </w:r>
          </w:p>
        </w:tc>
        <w:tc>
          <w:tcPr>
            <w:tcW w:type="dxa" w:w="3880"/>
          </w:tcPr>
          <w:p>
            <w:pPr>
              <w:pStyle w:val="Compact"/>
              <w:spacing w:after="20" w:before="20"/>
              <w:jc w:val="left"/>
            </w:pPr>
            <w:r>
              <w:rPr>
                <w:sz w:val="17"/>
              </w:rPr>
              <w:t xml:space="preserve">Each result matches the failure-mode table; fail-closed where the table says so</w:t>
            </w:r>
          </w:p>
        </w:tc>
        <w:tc>
          <w:tcPr>
            <w:tcW w:type="dxa" w:w="1037"/>
          </w:tcPr>
          <w:p>
            <w:pPr>
              <w:pStyle w:val="Compact"/>
              <w:spacing w:after="20" w:before="20"/>
              <w:jc w:val="left"/>
            </w:pPr>
            <w:r>
              <w:rPr>
                <w:sz w:val="17"/>
              </w:rPr>
              <w:t xml:space="preserve">RT-12</w:t>
            </w:r>
          </w:p>
        </w:tc>
      </w:tr>
      <w:tr>
        <w:tc>
          <w:tcPr>
            <w:tcW w:type="dxa" w:w="615"/>
          </w:tcPr>
          <w:p>
            <w:pPr>
              <w:pStyle w:val="Compact"/>
              <w:spacing w:after="20" w:before="20"/>
              <w:jc w:val="left"/>
            </w:pPr>
            <w:r>
              <w:rPr>
                <w:sz w:val="17"/>
              </w:rPr>
              <w:t xml:space="preserve">T37</w:t>
            </w:r>
          </w:p>
        </w:tc>
        <w:tc>
          <w:tcPr>
            <w:tcW w:type="dxa" w:w="4333"/>
          </w:tcPr>
          <w:p>
            <w:pPr>
              <w:pStyle w:val="Compact"/>
              <w:spacing w:after="20" w:before="20"/>
              <w:jc w:val="left"/>
            </w:pPr>
            <w:r>
              <w:rPr>
                <w:sz w:val="17"/>
              </w:rPr>
              <w:t xml:space="preserve">Only if a corporate share is on the allow list: configure the lab router so that the sanctioned server name resolves to the lab NAS, then copy a Tier 3 file to that name</w:t>
            </w:r>
          </w:p>
        </w:tc>
        <w:tc>
          <w:tcPr>
            <w:tcW w:type="dxa" w:w="3880"/>
          </w:tcPr>
          <w:p>
            <w:pPr>
              <w:pStyle w:val="Compact"/>
              <w:spacing w:after="20" w:before="20"/>
              <w:jc w:val="left"/>
            </w:pPr>
            <w:r>
              <w:rPr>
                <w:sz w:val="17"/>
              </w:rPr>
              <w:t xml:space="preserve">Blocked, because the allowance is bound to the VPN and to mutual authentication</w:t>
            </w:r>
          </w:p>
        </w:tc>
        <w:tc>
          <w:tcPr>
            <w:tcW w:type="dxa" w:w="1037"/>
          </w:tcPr>
          <w:p>
            <w:pPr>
              <w:pStyle w:val="Compact"/>
              <w:spacing w:after="20" w:before="20"/>
              <w:jc w:val="left"/>
            </w:pPr>
            <w:r>
              <w:rPr>
                <w:sz w:val="17"/>
              </w:rPr>
              <w:t xml:space="preserve">RT-07</w:t>
            </w:r>
          </w:p>
        </w:tc>
      </w:tr>
    </w:tbl>
    <w:p>
      <w:r>
        <w:pict>
          <v:rect style="width:0;height:1.5pt" o:hralign="center" o:hrstd="t" o:hr="t"/>
        </w:pict>
      </w:r>
    </w:p>
    <w:bookmarkEnd w:id="60"/>
    <w:bookmarkEnd w:id="61"/>
    <w:bookmarkStart w:id="62" w:name="X0db961405e5ecce0124201866031c7ca8369fd6"/>
    <w:p>
      <w:pPr>
        <w:pStyle w:val="Heading2"/>
      </w:pPr>
      <w:r>
        <w:t xml:space="preserve">10. Known limitations and residual risks</w:t>
      </w:r>
    </w:p>
    <w:p>
      <w:pPr>
        <w:pStyle w:val="FirstParagraph"/>
      </w:pPr>
      <w:r>
        <w:t xml:space="preserve">This register lists limitations of the products. Weaknesses of this design found in the red-team review are in Annex A and are not repeated here.</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15"/>
        <w:gridCol w:w="3153"/>
        <w:gridCol w:w="2943"/>
        <w:gridCol w:w="3154"/>
      </w:tblGrid>
      <w:tr>
        <w:trPr>
          <w:tblHeader w:val="true"/>
          <w:tblHeader w:val="true"/>
        </w:trPr>
        <w:tc>
          <w:tcPr>
            <w:tcW w:type="dxa" w:w="615"/>
            <w:shd w:val="clear" w:color="auto" w:fill="DCE6F1"/>
          </w:tcPr>
          <w:p>
            <w:pPr>
              <w:pStyle w:val="Compact"/>
              <w:spacing w:after="20" w:before="20"/>
              <w:jc w:val="left"/>
            </w:pPr>
            <w:r>
              <w:rPr>
                <w:b/>
                <w:sz w:val="17"/>
              </w:rPr>
              <w:t xml:space="preserve">#</w:t>
            </w:r>
          </w:p>
        </w:tc>
        <w:tc>
          <w:tcPr>
            <w:tcW w:type="dxa" w:w="3153"/>
            <w:shd w:val="clear" w:color="auto" w:fill="DCE6F1"/>
          </w:tcPr>
          <w:p>
            <w:pPr>
              <w:pStyle w:val="Compact"/>
              <w:spacing w:after="20" w:before="20"/>
              <w:jc w:val="left"/>
            </w:pPr>
            <w:r>
              <w:rPr>
                <w:b/>
                <w:sz w:val="17"/>
              </w:rPr>
              <w:t xml:space="preserve">Limitation</w:t>
            </w:r>
          </w:p>
        </w:tc>
        <w:tc>
          <w:tcPr>
            <w:tcW w:type="dxa" w:w="2943"/>
            <w:shd w:val="clear" w:color="auto" w:fill="DCE6F1"/>
          </w:tcPr>
          <w:p>
            <w:pPr>
              <w:pStyle w:val="Compact"/>
              <w:spacing w:after="20" w:before="20"/>
              <w:jc w:val="left"/>
            </w:pPr>
            <w:r>
              <w:rPr>
                <w:b/>
                <w:sz w:val="17"/>
              </w:rPr>
              <w:t xml:space="preserve">Impact</w:t>
            </w:r>
          </w:p>
        </w:tc>
        <w:tc>
          <w:tcPr>
            <w:tcW w:type="dxa" w:w="3154"/>
            <w:shd w:val="clear" w:color="auto" w:fill="DCE6F1"/>
          </w:tcPr>
          <w:p>
            <w:pPr>
              <w:pStyle w:val="Compact"/>
              <w:spacing w:after="20" w:before="20"/>
              <w:jc w:val="left"/>
            </w:pPr>
            <w:r>
              <w:rPr>
                <w:b/>
                <w:sz w:val="17"/>
              </w:rPr>
              <w:t xml:space="preserve">Compensating control</w:t>
            </w:r>
          </w:p>
        </w:tc>
      </w:tr>
      <w:tr>
        <w:tc>
          <w:tcPr>
            <w:tcW w:type="dxa" w:w="615"/>
          </w:tcPr>
          <w:p>
            <w:pPr>
              <w:pStyle w:val="Compact"/>
              <w:spacing w:after="20" w:before="20"/>
              <w:jc w:val="left"/>
            </w:pPr>
            <w:r>
              <w:rPr>
                <w:sz w:val="17"/>
              </w:rPr>
              <w:t xml:space="preserve">L1</w:t>
            </w:r>
          </w:p>
        </w:tc>
        <w:tc>
          <w:tcPr>
            <w:tcW w:type="dxa" w:w="3153"/>
          </w:tcPr>
          <w:p>
            <w:pPr>
              <w:pStyle w:val="Compact"/>
              <w:spacing w:after="20" w:before="20"/>
              <w:jc w:val="left"/>
            </w:pPr>
            <w:r>
              <w:rPr>
                <w:sz w:val="17"/>
              </w:rPr>
              <w:t xml:space="preserve">Enforcement depends on the label. Unlabeled sensitive files are not caught by label rules.</w:t>
            </w:r>
          </w:p>
        </w:tc>
        <w:tc>
          <w:tcPr>
            <w:tcW w:type="dxa" w:w="2943"/>
          </w:tcPr>
          <w:p>
            <w:pPr>
              <w:pStyle w:val="Compact"/>
              <w:spacing w:after="20" w:before="20"/>
              <w:jc w:val="left"/>
            </w:pPr>
            <w:r>
              <w:rPr>
                <w:sz w:val="17"/>
              </w:rPr>
              <w:t xml:space="preserve">Medium to high depending on labeling coverage</w:t>
            </w:r>
          </w:p>
        </w:tc>
        <w:tc>
          <w:tcPr>
            <w:tcW w:type="dxa" w:w="3154"/>
          </w:tcPr>
          <w:p>
            <w:pPr>
              <w:pStyle w:val="Compact"/>
              <w:spacing w:after="20" w:before="20"/>
              <w:jc w:val="left"/>
            </w:pPr>
            <w:r>
              <w:rPr>
                <w:sz w:val="17"/>
              </w:rPr>
              <w:t xml:space="preserve">Default labels, auto-labeling, the optional SIT + "not labeled" rule, EDLP-03 for unscannable files</w:t>
            </w:r>
          </w:p>
        </w:tc>
      </w:tr>
      <w:tr>
        <w:tc>
          <w:tcPr>
            <w:tcW w:type="dxa" w:w="615"/>
          </w:tcPr>
          <w:p>
            <w:pPr>
              <w:pStyle w:val="Compact"/>
              <w:spacing w:after="20" w:before="20"/>
              <w:jc w:val="left"/>
            </w:pPr>
            <w:r>
              <w:rPr>
                <w:sz w:val="17"/>
              </w:rPr>
              <w:t xml:space="preserve">L2</w:t>
            </w:r>
          </w:p>
        </w:tc>
        <w:tc>
          <w:tcPr>
            <w:tcW w:type="dxa" w:w="3153"/>
          </w:tcPr>
          <w:p>
            <w:pPr>
              <w:pStyle w:val="Compact"/>
              <w:spacing w:after="20" w:before="20"/>
              <w:jc w:val="left"/>
            </w:pPr>
            <w:r>
              <w:rPr>
                <w:sz w:val="17"/>
              </w:rPr>
              <w:t xml:space="preserve">Paste to browser is SIT-based, not label-based, ignores text under 30 characters, and inspects the first 4 MB only.</w:t>
            </w:r>
          </w:p>
        </w:tc>
        <w:tc>
          <w:tcPr>
            <w:tcW w:type="dxa" w:w="2943"/>
          </w:tcPr>
          <w:p>
            <w:pPr>
              <w:pStyle w:val="Compact"/>
              <w:spacing w:after="20" w:before="20"/>
              <w:jc w:val="left"/>
            </w:pPr>
            <w:r>
              <w:rPr>
                <w:sz w:val="17"/>
              </w:rPr>
              <w:t xml:space="preserve">Small snippets copied from labeled files can be pasted into websites unless the copy itself is blocked (UC-07).</w:t>
            </w:r>
          </w:p>
        </w:tc>
        <w:tc>
          <w:tcPr>
            <w:tcW w:type="dxa" w:w="3154"/>
          </w:tcPr>
          <w:p>
            <w:pPr>
              <w:pStyle w:val="Compact"/>
              <w:spacing w:after="20" w:before="20"/>
              <w:jc w:val="left"/>
            </w:pPr>
            <w:r>
              <w:rPr>
                <w:sz w:val="17"/>
              </w:rPr>
              <w:t xml:space="preserve">Copy to clipboard = Block for Tier 3; Edge for Business Protected Clipboard (section 11.3)</w:t>
            </w:r>
          </w:p>
        </w:tc>
      </w:tr>
      <w:tr>
        <w:tc>
          <w:tcPr>
            <w:tcW w:type="dxa" w:w="615"/>
          </w:tcPr>
          <w:p>
            <w:pPr>
              <w:pStyle w:val="Compact"/>
              <w:spacing w:after="20" w:before="20"/>
              <w:jc w:val="left"/>
            </w:pPr>
            <w:r>
              <w:rPr>
                <w:sz w:val="17"/>
              </w:rPr>
              <w:t xml:space="preserve">L3</w:t>
            </w:r>
          </w:p>
        </w:tc>
        <w:tc>
          <w:tcPr>
            <w:tcW w:type="dxa" w:w="3153"/>
          </w:tcPr>
          <w:p>
            <w:pPr>
              <w:pStyle w:val="Compact"/>
              <w:spacing w:after="20" w:before="20"/>
              <w:jc w:val="left"/>
            </w:pPr>
            <w:r>
              <w:rPr>
                <w:sz w:val="17"/>
              </w:rPr>
              <w:t xml:space="preserve">Clipboard blocking is at copy time and blocks copying from all files in the same app while a blocked file is open.</w:t>
            </w:r>
          </w:p>
        </w:tc>
        <w:tc>
          <w:tcPr>
            <w:tcW w:type="dxa" w:w="2943"/>
          </w:tcPr>
          <w:p>
            <w:pPr>
              <w:pStyle w:val="Compact"/>
              <w:spacing w:after="20" w:before="20"/>
              <w:jc w:val="left"/>
            </w:pPr>
            <w:r>
              <w:rPr>
                <w:sz w:val="17"/>
              </w:rPr>
              <w:t xml:space="preserve">User friction</w:t>
            </w:r>
          </w:p>
        </w:tc>
        <w:tc>
          <w:tcPr>
            <w:tcW w:type="dxa" w:w="3154"/>
          </w:tcPr>
          <w:p>
            <w:pPr>
              <w:pStyle w:val="Compact"/>
              <w:spacing w:after="20" w:before="20"/>
              <w:jc w:val="left"/>
            </w:pPr>
            <w:r>
              <w:rPr>
                <w:sz w:val="17"/>
              </w:rPr>
              <w:t xml:space="preserve">Keep Tier 3 small; Tier 2 uses override</w:t>
            </w:r>
          </w:p>
        </w:tc>
      </w:tr>
      <w:tr>
        <w:tc>
          <w:tcPr>
            <w:tcW w:type="dxa" w:w="615"/>
          </w:tcPr>
          <w:p>
            <w:pPr>
              <w:pStyle w:val="Compact"/>
              <w:spacing w:after="20" w:before="20"/>
              <w:jc w:val="left"/>
            </w:pPr>
            <w:r>
              <w:rPr>
                <w:sz w:val="17"/>
              </w:rPr>
              <w:t xml:space="preserve">L4</w:t>
            </w:r>
          </w:p>
        </w:tc>
        <w:tc>
          <w:tcPr>
            <w:tcW w:type="dxa" w:w="3153"/>
          </w:tcPr>
          <w:p>
            <w:pPr>
              <w:pStyle w:val="Compact"/>
              <w:spacing w:after="20" w:before="20"/>
              <w:jc w:val="left"/>
            </w:pPr>
            <w:r>
              <w:rPr>
                <w:sz w:val="17"/>
              </w:rPr>
              <w:t xml:space="preserve">IP-based upload group matching is Windows only.</w:t>
            </w:r>
          </w:p>
        </w:tc>
        <w:tc>
          <w:tcPr>
            <w:tcW w:type="dxa" w:w="2943"/>
          </w:tcPr>
          <w:p>
            <w:pPr>
              <w:pStyle w:val="Compact"/>
              <w:spacing w:after="20" w:before="20"/>
              <w:jc w:val="left"/>
            </w:pPr>
            <w:r>
              <w:rPr>
                <w:sz w:val="17"/>
              </w:rPr>
              <w:t xml:space="preserve">On macOS, a home NAS web UI reached by raw IP is still restricted by the Allow-mode default, but the event is not attributed to the "Private network storage" group, so alert triage is less precise.</w:t>
            </w:r>
          </w:p>
        </w:tc>
        <w:tc>
          <w:tcPr>
            <w:tcW w:type="dxa" w:w="3154"/>
          </w:tcPr>
          <w:p>
            <w:pPr>
              <w:pStyle w:val="Compact"/>
              <w:spacing w:after="20" w:before="20"/>
              <w:jc w:val="left"/>
            </w:pPr>
            <w:r>
              <w:rPr>
                <w:sz w:val="17"/>
              </w:rPr>
              <w:t xml:space="preserve">Accept; validate in T04</w:t>
            </w:r>
          </w:p>
        </w:tc>
      </w:tr>
      <w:tr>
        <w:tc>
          <w:tcPr>
            <w:tcW w:type="dxa" w:w="615"/>
          </w:tcPr>
          <w:p>
            <w:pPr>
              <w:pStyle w:val="Compact"/>
              <w:spacing w:after="20" w:before="20"/>
              <w:jc w:val="left"/>
            </w:pPr>
            <w:r>
              <w:rPr>
                <w:sz w:val="17"/>
              </w:rPr>
              <w:t xml:space="preserve">L5</w:t>
            </w:r>
          </w:p>
        </w:tc>
        <w:tc>
          <w:tcPr>
            <w:tcW w:type="dxa" w:w="3153"/>
          </w:tcPr>
          <w:p>
            <w:pPr>
              <w:pStyle w:val="Compact"/>
              <w:spacing w:after="20" w:before="20"/>
              <w:jc w:val="left"/>
            </w:pPr>
            <w:r>
              <w:rPr>
                <w:sz w:val="17"/>
              </w:rPr>
              <w:t xml:space="preserve">Chrome and Firefox control on Windows requires the Purview extension. On macOS no extension is needed, but protection depends on an operating-system permission that the user can revoke on macOS 27. Users can run portable or renamed browsers.</w:t>
            </w:r>
          </w:p>
        </w:tc>
        <w:tc>
          <w:tcPr>
            <w:tcW w:type="dxa" w:w="2943"/>
          </w:tcPr>
          <w:p>
            <w:pPr>
              <w:pStyle w:val="Compact"/>
              <w:spacing w:after="20" w:before="20"/>
              <w:jc w:val="left"/>
            </w:pPr>
            <w:r>
              <w:rPr>
                <w:sz w:val="17"/>
              </w:rPr>
              <w:t xml:space="preserve">Bypass via unsupported browser</w:t>
            </w:r>
          </w:p>
        </w:tc>
        <w:tc>
          <w:tcPr>
            <w:tcW w:type="dxa" w:w="3154"/>
          </w:tcPr>
          <w:p>
            <w:pPr>
              <w:pStyle w:val="Compact"/>
              <w:spacing w:after="20" w:before="20"/>
              <w:jc w:val="left"/>
            </w:pPr>
            <w:r>
              <w:rPr>
                <w:sz w:val="17"/>
              </w:rPr>
              <w:t xml:space="preserve">Unallowed browsers list; application control (AppLocker / Intune) for browser installs; monthly software inventory review</w:t>
            </w:r>
          </w:p>
        </w:tc>
      </w:tr>
      <w:tr>
        <w:tc>
          <w:tcPr>
            <w:tcW w:type="dxa" w:w="615"/>
          </w:tcPr>
          <w:p>
            <w:pPr>
              <w:pStyle w:val="Compact"/>
              <w:spacing w:after="20" w:before="20"/>
              <w:jc w:val="left"/>
            </w:pPr>
            <w:r>
              <w:rPr>
                <w:sz w:val="17"/>
              </w:rPr>
              <w:t xml:space="preserve">L6</w:t>
            </w:r>
          </w:p>
        </w:tc>
        <w:tc>
          <w:tcPr>
            <w:tcW w:type="dxa" w:w="3153"/>
          </w:tcPr>
          <w:p>
            <w:pPr>
              <w:pStyle w:val="Compact"/>
              <w:spacing w:after="20" w:before="20"/>
              <w:jc w:val="left"/>
            </w:pPr>
            <w:r>
              <w:rPr>
                <w:sz w:val="17"/>
              </w:rPr>
              <w:t xml:space="preserve">Service domains Allow list is capped at 50 entries.</w:t>
            </w:r>
          </w:p>
        </w:tc>
        <w:tc>
          <w:tcPr>
            <w:tcW w:type="dxa" w:w="2943"/>
          </w:tcPr>
          <w:p>
            <w:pPr>
              <w:pStyle w:val="Compact"/>
              <w:spacing w:after="20" w:before="20"/>
              <w:jc w:val="left"/>
            </w:pPr>
            <w:r>
              <w:rPr>
                <w:sz w:val="17"/>
              </w:rPr>
              <w:t xml:space="preserve">Enough for Microsoft 365 plus a handful of SaaS. Not enough if many sanctioned SaaS apps appear.</w:t>
            </w:r>
          </w:p>
        </w:tc>
        <w:tc>
          <w:tcPr>
            <w:tcW w:type="dxa" w:w="3154"/>
          </w:tcPr>
          <w:p>
            <w:pPr>
              <w:pStyle w:val="Compact"/>
              <w:spacing w:after="20" w:before="20"/>
              <w:jc w:val="left"/>
            </w:pPr>
            <w:r>
              <w:rPr>
                <w:sz w:val="17"/>
              </w:rPr>
              <w:t xml:space="preserve">Move SaaS allow entries into sensitive service domain groups (100 sites × 150 groups) assigned Allow</w:t>
            </w:r>
          </w:p>
        </w:tc>
      </w:tr>
      <w:tr>
        <w:tc>
          <w:tcPr>
            <w:tcW w:type="dxa" w:w="615"/>
          </w:tcPr>
          <w:p>
            <w:pPr>
              <w:pStyle w:val="Compact"/>
              <w:spacing w:after="20" w:before="20"/>
              <w:jc w:val="left"/>
            </w:pPr>
            <w:r>
              <w:rPr>
                <w:sz w:val="17"/>
              </w:rPr>
              <w:t xml:space="preserve">L7</w:t>
            </w:r>
          </w:p>
        </w:tc>
        <w:tc>
          <w:tcPr>
            <w:tcW w:type="dxa" w:w="3153"/>
          </w:tcPr>
          <w:p>
            <w:pPr>
              <w:pStyle w:val="Compact"/>
              <w:spacing w:after="20" w:before="20"/>
              <w:jc w:val="left"/>
            </w:pPr>
            <w:r>
              <w:rPr>
                <w:sz w:val="17"/>
              </w:rPr>
              <w:t xml:space="preserve">FTP/SFTP control is new (GA October 2026) and documented for Windows only.</w:t>
            </w:r>
          </w:p>
        </w:tc>
        <w:tc>
          <w:tcPr>
            <w:tcW w:type="dxa" w:w="2943"/>
          </w:tcPr>
          <w:p>
            <w:pPr>
              <w:pStyle w:val="Compact"/>
              <w:spacing w:after="20" w:before="20"/>
              <w:jc w:val="left"/>
            </w:pPr>
            <w:r>
              <w:rPr>
                <w:sz w:val="17"/>
              </w:rPr>
              <w:t xml:space="preserve">macOS FTP gap</w:t>
            </w:r>
          </w:p>
        </w:tc>
        <w:tc>
          <w:tcPr>
            <w:tcW w:type="dxa" w:w="3154"/>
          </w:tcPr>
          <w:p>
            <w:pPr>
              <w:pStyle w:val="Compact"/>
              <w:spacing w:after="20" w:before="20"/>
              <w:jc w:val="left"/>
            </w:pPr>
            <w:r>
              <w:rPr>
                <w:sz w:val="17"/>
              </w:rPr>
              <w:t xml:space="preserve">Block outbound FTP/SFTP to NAS at the firewall for Macs; or disable FTP on NAS devices</w:t>
            </w:r>
          </w:p>
        </w:tc>
      </w:tr>
      <w:tr>
        <w:tc>
          <w:tcPr>
            <w:tcW w:type="dxa" w:w="615"/>
          </w:tcPr>
          <w:p>
            <w:pPr>
              <w:pStyle w:val="Compact"/>
              <w:spacing w:after="20" w:before="20"/>
              <w:jc w:val="left"/>
            </w:pPr>
            <w:r>
              <w:rPr>
                <w:sz w:val="17"/>
              </w:rPr>
              <w:t xml:space="preserve">L8</w:t>
            </w:r>
          </w:p>
        </w:tc>
        <w:tc>
          <w:tcPr>
            <w:tcW w:type="dxa" w:w="3153"/>
          </w:tcPr>
          <w:p>
            <w:pPr>
              <w:pStyle w:val="Compact"/>
              <w:spacing w:after="20" w:before="20"/>
              <w:jc w:val="left"/>
            </w:pPr>
            <w:r>
              <w:rPr>
                <w:sz w:val="17"/>
              </w:rPr>
              <w:t xml:space="preserve">WebDAV behavior not documented.</w:t>
            </w:r>
          </w:p>
        </w:tc>
        <w:tc>
          <w:tcPr>
            <w:tcW w:type="dxa" w:w="2943"/>
          </w:tcPr>
          <w:p>
            <w:pPr>
              <w:pStyle w:val="Compact"/>
              <w:spacing w:after="20" w:before="20"/>
              <w:jc w:val="left"/>
            </w:pPr>
            <w:r>
              <w:rPr>
                <w:sz w:val="17"/>
              </w:rPr>
              <w:t xml:space="preserve">Unknown</w:t>
            </w:r>
          </w:p>
        </w:tc>
        <w:tc>
          <w:tcPr>
            <w:tcW w:type="dxa" w:w="3154"/>
          </w:tcPr>
          <w:p>
            <w:pPr>
              <w:pStyle w:val="Compact"/>
              <w:spacing w:after="20" w:before="20"/>
              <w:jc w:val="left"/>
            </w:pPr>
            <w:r>
              <w:rPr>
                <w:sz w:val="17"/>
              </w:rPr>
              <w:t xml:space="preserve">Lab test in Phase 3; disable WebDAV on NAS where possible</w:t>
            </w:r>
          </w:p>
        </w:tc>
      </w:tr>
      <w:tr>
        <w:tc>
          <w:tcPr>
            <w:tcW w:type="dxa" w:w="615"/>
          </w:tcPr>
          <w:p>
            <w:pPr>
              <w:pStyle w:val="Compact"/>
              <w:spacing w:after="20" w:before="20"/>
              <w:jc w:val="left"/>
            </w:pPr>
            <w:r>
              <w:rPr>
                <w:sz w:val="17"/>
              </w:rPr>
              <w:t xml:space="preserve">L9</w:t>
            </w:r>
          </w:p>
        </w:tc>
        <w:tc>
          <w:tcPr>
            <w:tcW w:type="dxa" w:w="3153"/>
          </w:tcPr>
          <w:p>
            <w:pPr>
              <w:pStyle w:val="Compact"/>
              <w:spacing w:after="20" w:before="20"/>
              <w:jc w:val="left"/>
            </w:pPr>
            <w:r>
              <w:rPr>
                <w:sz w:val="17"/>
              </w:rPr>
              <w:t xml:space="preserve">Linux, mobile, BYOD, and personal devices are not covered.</w:t>
            </w:r>
          </w:p>
        </w:tc>
        <w:tc>
          <w:tcPr>
            <w:tcW w:type="dxa" w:w="2943"/>
          </w:tcPr>
          <w:p>
            <w:pPr>
              <w:pStyle w:val="Compact"/>
              <w:spacing w:after="20" w:before="20"/>
              <w:jc w:val="left"/>
            </w:pPr>
            <w:r>
              <w:rPr>
                <w:sz w:val="17"/>
              </w:rPr>
              <w:t xml:space="preserve">Any sensitive file that reaches such a device is uncontrolled</w:t>
            </w:r>
          </w:p>
        </w:tc>
        <w:tc>
          <w:tcPr>
            <w:tcW w:type="dxa" w:w="3154"/>
          </w:tcPr>
          <w:p>
            <w:pPr>
              <w:pStyle w:val="Compact"/>
              <w:spacing w:after="20" w:before="20"/>
              <w:jc w:val="left"/>
            </w:pPr>
            <w:r>
              <w:rPr>
                <w:sz w:val="17"/>
              </w:rPr>
              <w:t xml:space="preserve">Conditional Access: require compliant device for Microsoft 365; Defender for Cloud Apps session policies to block downloads to unmanaged devices (section 11.2).</w:t>
            </w:r>
            <w:r>
              <w:rPr>
                <w:sz w:val="17"/>
              </w:rPr>
              <w:t xml:space="preserve"> </w:t>
            </w:r>
            <w:r>
              <w:rPr>
                <w:bCs/>
                <w:b/>
                <w:sz w:val="17"/>
              </w:rPr>
              <w:t xml:space="preserve">Promoted to a prerequisite in v0.3 (RT-01).</w:t>
            </w:r>
          </w:p>
        </w:tc>
      </w:tr>
      <w:tr>
        <w:tc>
          <w:tcPr>
            <w:tcW w:type="dxa" w:w="615"/>
          </w:tcPr>
          <w:p>
            <w:pPr>
              <w:pStyle w:val="Compact"/>
              <w:spacing w:after="20" w:before="20"/>
              <w:jc w:val="left"/>
            </w:pPr>
            <w:r>
              <w:rPr>
                <w:sz w:val="17"/>
              </w:rPr>
              <w:t xml:space="preserve">L10</w:t>
            </w:r>
          </w:p>
        </w:tc>
        <w:tc>
          <w:tcPr>
            <w:tcW w:type="dxa" w:w="3153"/>
          </w:tcPr>
          <w:p>
            <w:pPr>
              <w:pStyle w:val="Compact"/>
              <w:spacing w:after="20" w:before="20"/>
              <w:jc w:val="left"/>
            </w:pPr>
            <w:r>
              <w:rPr>
                <w:sz w:val="17"/>
              </w:rPr>
              <w:t xml:space="preserve">Screenshots, photos, reading aloud, and retyping cannot be blocked.</w:t>
            </w:r>
          </w:p>
        </w:tc>
        <w:tc>
          <w:tcPr>
            <w:tcW w:type="dxa" w:w="2943"/>
          </w:tcPr>
          <w:p>
            <w:pPr>
              <w:pStyle w:val="Compact"/>
              <w:spacing w:after="20" w:before="20"/>
              <w:jc w:val="left"/>
            </w:pPr>
            <w:r>
              <w:rPr>
                <w:sz w:val="17"/>
              </w:rPr>
              <w:t xml:space="preserve">Low-volume, deliberate exfiltration</w:t>
            </w:r>
          </w:p>
        </w:tc>
        <w:tc>
          <w:tcPr>
            <w:tcW w:type="dxa" w:w="3154"/>
          </w:tcPr>
          <w:p>
            <w:pPr>
              <w:pStyle w:val="Compact"/>
              <w:spacing w:after="20" w:before="20"/>
              <w:jc w:val="left"/>
            </w:pPr>
            <w:r>
              <w:rPr>
                <w:sz w:val="17"/>
              </w:rPr>
              <w:t xml:space="preserve">Edge screen capture protection for browser content; Insider Risk Management for behavior analytics; accept residual risk</w:t>
            </w:r>
          </w:p>
        </w:tc>
      </w:tr>
      <w:tr>
        <w:tc>
          <w:tcPr>
            <w:tcW w:type="dxa" w:w="615"/>
          </w:tcPr>
          <w:p>
            <w:pPr>
              <w:pStyle w:val="Compact"/>
              <w:spacing w:after="20" w:before="20"/>
              <w:jc w:val="left"/>
            </w:pPr>
            <w:r>
              <w:rPr>
                <w:sz w:val="17"/>
              </w:rPr>
              <w:t xml:space="preserve">L11</w:t>
            </w:r>
          </w:p>
        </w:tc>
        <w:tc>
          <w:tcPr>
            <w:tcW w:type="dxa" w:w="3153"/>
          </w:tcPr>
          <w:p>
            <w:pPr>
              <w:pStyle w:val="Compact"/>
              <w:spacing w:after="20" w:before="20"/>
              <w:jc w:val="left"/>
            </w:pPr>
            <w:r>
              <w:rPr>
                <w:sz w:val="17"/>
              </w:rPr>
              <w:t xml:space="preserve">Labels from another tenant are not detected.</w:t>
            </w:r>
          </w:p>
        </w:tc>
        <w:tc>
          <w:tcPr>
            <w:tcW w:type="dxa" w:w="2943"/>
          </w:tcPr>
          <w:p>
            <w:pPr>
              <w:pStyle w:val="Compact"/>
              <w:spacing w:after="20" w:before="20"/>
              <w:jc w:val="left"/>
            </w:pPr>
            <w:r>
              <w:rPr>
                <w:sz w:val="17"/>
              </w:rPr>
              <w:t xml:space="preserve">Files received from partners</w:t>
            </w:r>
          </w:p>
        </w:tc>
        <w:tc>
          <w:tcPr>
            <w:tcW w:type="dxa" w:w="3154"/>
          </w:tcPr>
          <w:p>
            <w:pPr>
              <w:pStyle w:val="Compact"/>
              <w:spacing w:after="20" w:before="20"/>
              <w:jc w:val="left"/>
            </w:pPr>
            <w:r>
              <w:rPr>
                <w:sz w:val="17"/>
              </w:rPr>
              <w:t xml:space="preserve">Auto-labeling on ingest; out of scope here</w:t>
            </w:r>
          </w:p>
        </w:tc>
      </w:tr>
      <w:tr>
        <w:tc>
          <w:tcPr>
            <w:tcW w:type="dxa" w:w="615"/>
          </w:tcPr>
          <w:p>
            <w:pPr>
              <w:pStyle w:val="Compact"/>
              <w:spacing w:after="20" w:before="20"/>
              <w:jc w:val="left"/>
            </w:pPr>
            <w:r>
              <w:rPr>
                <w:sz w:val="17"/>
              </w:rPr>
              <w:t xml:space="preserve">L12</w:t>
            </w:r>
          </w:p>
        </w:tc>
        <w:tc>
          <w:tcPr>
            <w:tcW w:type="dxa" w:w="3153"/>
          </w:tcPr>
          <w:p>
            <w:pPr>
              <w:pStyle w:val="Compact"/>
              <w:spacing w:after="20" w:before="20"/>
              <w:jc w:val="left"/>
            </w:pPr>
            <w:r>
              <w:rPr>
                <w:sz w:val="17"/>
              </w:rPr>
              <w:t xml:space="preserve">Block with override permits the action for 1 minute on Windows after override.</w:t>
            </w:r>
          </w:p>
        </w:tc>
        <w:tc>
          <w:tcPr>
            <w:tcW w:type="dxa" w:w="2943"/>
          </w:tcPr>
          <w:p>
            <w:pPr>
              <w:pStyle w:val="Compact"/>
              <w:spacing w:after="20" w:before="20"/>
              <w:jc w:val="left"/>
            </w:pPr>
            <w:r>
              <w:rPr>
                <w:sz w:val="17"/>
              </w:rPr>
              <w:t xml:space="preserve">A user can move several files in that window</w:t>
            </w:r>
          </w:p>
        </w:tc>
        <w:tc>
          <w:tcPr>
            <w:tcW w:type="dxa" w:w="3154"/>
          </w:tcPr>
          <w:p>
            <w:pPr>
              <w:pStyle w:val="Compact"/>
              <w:spacing w:after="20" w:before="20"/>
              <w:jc w:val="left"/>
            </w:pPr>
            <w:r>
              <w:rPr>
                <w:sz w:val="17"/>
              </w:rPr>
              <w:t xml:space="preserve">Alert on every override; review</w:t>
            </w:r>
          </w:p>
        </w:tc>
      </w:tr>
      <w:tr>
        <w:tc>
          <w:tcPr>
            <w:tcW w:type="dxa" w:w="615"/>
          </w:tcPr>
          <w:p>
            <w:pPr>
              <w:pStyle w:val="Compact"/>
              <w:spacing w:after="20" w:before="20"/>
              <w:jc w:val="left"/>
            </w:pPr>
            <w:r>
              <w:rPr>
                <w:sz w:val="17"/>
              </w:rPr>
              <w:t xml:space="preserve">L13</w:t>
            </w:r>
          </w:p>
        </w:tc>
        <w:tc>
          <w:tcPr>
            <w:tcW w:type="dxa" w:w="3153"/>
          </w:tcPr>
          <w:p>
            <w:pPr>
              <w:pStyle w:val="Compact"/>
              <w:spacing w:after="20" w:before="20"/>
              <w:jc w:val="left"/>
            </w:pPr>
            <w:r>
              <w:rPr>
                <w:sz w:val="17"/>
              </w:rPr>
              <w:t xml:space="preserve">Policy changes take up to about 1 hour to sync; authorization group changes up to 24 hours.</w:t>
            </w:r>
          </w:p>
        </w:tc>
        <w:tc>
          <w:tcPr>
            <w:tcW w:type="dxa" w:w="2943"/>
          </w:tcPr>
          <w:p>
            <w:pPr>
              <w:pStyle w:val="Compact"/>
              <w:spacing w:after="20" w:before="20"/>
              <w:jc w:val="left"/>
            </w:pPr>
            <w:r>
              <w:rPr>
                <w:sz w:val="17"/>
              </w:rPr>
              <w:t xml:space="preserve">New allow-list entries are not instant</w:t>
            </w:r>
          </w:p>
        </w:tc>
        <w:tc>
          <w:tcPr>
            <w:tcW w:type="dxa" w:w="3154"/>
          </w:tcPr>
          <w:p>
            <w:pPr>
              <w:pStyle w:val="Compact"/>
              <w:spacing w:after="20" w:before="20"/>
              <w:jc w:val="left"/>
            </w:pPr>
            <w:r>
              <w:rPr>
                <w:sz w:val="17"/>
              </w:rPr>
              <w:t xml:space="preserve">Plan changes; communicate lead times</w:t>
            </w:r>
          </w:p>
        </w:tc>
      </w:tr>
      <w:tr>
        <w:tc>
          <w:tcPr>
            <w:tcW w:type="dxa" w:w="615"/>
          </w:tcPr>
          <w:p>
            <w:pPr>
              <w:pStyle w:val="Compact"/>
              <w:spacing w:after="20" w:before="20"/>
              <w:jc w:val="left"/>
            </w:pPr>
            <w:r>
              <w:rPr>
                <w:sz w:val="17"/>
              </w:rPr>
              <w:t xml:space="preserve">L14</w:t>
            </w:r>
          </w:p>
        </w:tc>
        <w:tc>
          <w:tcPr>
            <w:tcW w:type="dxa" w:w="3153"/>
          </w:tcPr>
          <w:p>
            <w:pPr>
              <w:pStyle w:val="Compact"/>
              <w:spacing w:after="20" w:before="20"/>
              <w:jc w:val="left"/>
            </w:pPr>
            <w:r>
              <w:rPr>
                <w:sz w:val="17"/>
              </w:rPr>
              <w:t xml:space="preserve">Files never saved locally (e.g., Word Save As directly to USB or share from an unsaved document) cannot be scanned.</w:t>
            </w:r>
          </w:p>
        </w:tc>
        <w:tc>
          <w:tcPr>
            <w:tcW w:type="dxa" w:w="2943"/>
          </w:tcPr>
          <w:p>
            <w:pPr>
              <w:pStyle w:val="Compact"/>
              <w:spacing w:after="20" w:before="20"/>
              <w:jc w:val="left"/>
            </w:pPr>
            <w:r>
              <w:rPr>
                <w:sz w:val="17"/>
              </w:rPr>
              <w:t xml:space="preserve">Edge case</w:t>
            </w:r>
          </w:p>
        </w:tc>
        <w:tc>
          <w:tcPr>
            <w:tcW w:type="dxa" w:w="3154"/>
          </w:tcPr>
          <w:p>
            <w:pPr>
              <w:pStyle w:val="Compact"/>
              <w:spacing w:after="20" w:before="20"/>
              <w:jc w:val="left"/>
            </w:pPr>
            <w:r>
              <w:rPr>
                <w:sz w:val="17"/>
              </w:rPr>
              <w:t xml:space="preserve">JIT fallback = Block; EDLP-03</w:t>
            </w:r>
          </w:p>
        </w:tc>
      </w:tr>
      <w:tr>
        <w:tc>
          <w:tcPr>
            <w:tcW w:type="dxa" w:w="615"/>
          </w:tcPr>
          <w:p>
            <w:pPr>
              <w:pStyle w:val="Compact"/>
              <w:spacing w:after="20" w:before="20"/>
              <w:jc w:val="left"/>
            </w:pPr>
            <w:r>
              <w:rPr>
                <w:sz w:val="17"/>
              </w:rPr>
              <w:t xml:space="preserve">L15</w:t>
            </w:r>
          </w:p>
        </w:tc>
        <w:tc>
          <w:tcPr>
            <w:tcW w:type="dxa" w:w="3153"/>
          </w:tcPr>
          <w:p>
            <w:pPr>
              <w:pStyle w:val="Compact"/>
              <w:spacing w:after="20" w:before="20"/>
              <w:jc w:val="left"/>
            </w:pPr>
            <w:r>
              <w:rPr>
                <w:sz w:val="17"/>
              </w:rPr>
              <w:t xml:space="preserve">Encrypted archives cannot be inspected.</w:t>
            </w:r>
          </w:p>
        </w:tc>
        <w:tc>
          <w:tcPr>
            <w:tcW w:type="dxa" w:w="2943"/>
          </w:tcPr>
          <w:p>
            <w:pPr>
              <w:pStyle w:val="Compact"/>
              <w:spacing w:after="20" w:before="20"/>
              <w:jc w:val="left"/>
            </w:pPr>
            <w:r>
              <w:rPr>
                <w:sz w:val="17"/>
              </w:rPr>
              <w:t xml:space="preserve">Deliberate bypass</w:t>
            </w:r>
          </w:p>
        </w:tc>
        <w:tc>
          <w:tcPr>
            <w:tcW w:type="dxa" w:w="3154"/>
          </w:tcPr>
          <w:p>
            <w:pPr>
              <w:pStyle w:val="Compact"/>
              <w:spacing w:after="20" w:before="20"/>
              <w:jc w:val="left"/>
            </w:pPr>
            <w:r>
              <w:rPr>
                <w:sz w:val="17"/>
              </w:rPr>
              <w:t xml:space="preserve">EDLP-03 Block with override; alert on pattern</w:t>
            </w:r>
          </w:p>
        </w:tc>
      </w:tr>
      <w:tr>
        <w:tc>
          <w:tcPr>
            <w:tcW w:type="dxa" w:w="615"/>
          </w:tcPr>
          <w:p>
            <w:pPr>
              <w:pStyle w:val="Compact"/>
              <w:spacing w:after="20" w:before="20"/>
              <w:jc w:val="left"/>
            </w:pPr>
            <w:r>
              <w:rPr>
                <w:sz w:val="17"/>
              </w:rPr>
              <w:t xml:space="preserve">L16</w:t>
            </w:r>
          </w:p>
        </w:tc>
        <w:tc>
          <w:tcPr>
            <w:tcW w:type="dxa" w:w="3153"/>
          </w:tcPr>
          <w:p>
            <w:pPr>
              <w:pStyle w:val="Compact"/>
              <w:spacing w:after="20" w:before="20"/>
              <w:jc w:val="left"/>
            </w:pPr>
            <w:r>
              <w:rPr>
                <w:sz w:val="17"/>
              </w:rPr>
              <w:t xml:space="preserve">Windows Server endpoints do not classify new files after the relevant KBs.</w:t>
            </w:r>
          </w:p>
        </w:tc>
        <w:tc>
          <w:tcPr>
            <w:tcW w:type="dxa" w:w="2943"/>
          </w:tcPr>
          <w:p>
            <w:pPr>
              <w:pStyle w:val="Compact"/>
              <w:spacing w:after="20" w:before="20"/>
              <w:jc w:val="left"/>
            </w:pPr>
            <w:r>
              <w:rPr>
                <w:sz w:val="17"/>
              </w:rPr>
              <w:t xml:space="preserve">Only if servers are in scope</w:t>
            </w:r>
          </w:p>
        </w:tc>
        <w:tc>
          <w:tcPr>
            <w:tcW w:type="dxa" w:w="3154"/>
          </w:tcPr>
          <w:p>
            <w:pPr>
              <w:pStyle w:val="Compact"/>
              <w:spacing w:after="20" w:before="20"/>
              <w:jc w:val="left"/>
            </w:pPr>
            <w:r>
              <w:rPr>
                <w:sz w:val="17"/>
              </w:rPr>
              <w:t xml:space="preserve">Keep servers out of scope for this phase</w:t>
            </w:r>
          </w:p>
        </w:tc>
      </w:tr>
      <w:tr>
        <w:tc>
          <w:tcPr>
            <w:tcW w:type="dxa" w:w="615"/>
          </w:tcPr>
          <w:p>
            <w:pPr>
              <w:pStyle w:val="Compact"/>
              <w:spacing w:after="20" w:before="20"/>
              <w:jc w:val="left"/>
            </w:pPr>
            <w:r>
              <w:rPr>
                <w:sz w:val="17"/>
              </w:rPr>
              <w:t xml:space="preserve">L17</w:t>
            </w:r>
          </w:p>
        </w:tc>
        <w:tc>
          <w:tcPr>
            <w:tcW w:type="dxa" w:w="3153"/>
          </w:tcPr>
          <w:p>
            <w:pPr>
              <w:pStyle w:val="Compact"/>
              <w:spacing w:after="20" w:before="20"/>
              <w:jc w:val="left"/>
            </w:pPr>
            <w:r>
              <w:rPr>
                <w:sz w:val="17"/>
              </w:rPr>
              <w:t xml:space="preserve">macOS Time Machine backups to a home NAS write disk-image band files; Endpoint DLP does not see the labeled documents inside.</w:t>
            </w:r>
          </w:p>
        </w:tc>
        <w:tc>
          <w:tcPr>
            <w:tcW w:type="dxa" w:w="2943"/>
          </w:tcPr>
          <w:p>
            <w:pPr>
              <w:pStyle w:val="Compact"/>
              <w:spacing w:after="20" w:before="20"/>
              <w:jc w:val="left"/>
            </w:pPr>
            <w:r>
              <w:rPr>
                <w:sz w:val="17"/>
              </w:rPr>
              <w:t xml:space="preserve">Whole-profile exfiltration to the home NAS in the background</w:t>
            </w:r>
          </w:p>
        </w:tc>
        <w:tc>
          <w:tcPr>
            <w:tcW w:type="dxa" w:w="3154"/>
          </w:tcPr>
          <w:p>
            <w:pPr>
              <w:pStyle w:val="Compact"/>
              <w:spacing w:after="20" w:before="20"/>
              <w:jc w:val="left"/>
            </w:pPr>
            <w:r>
              <w:rPr>
                <w:sz w:val="17"/>
              </w:rPr>
              <w:t xml:space="preserve">MDM: restrict or disable Time Machine network destinations (UC-13)</w:t>
            </w:r>
          </w:p>
        </w:tc>
      </w:tr>
      <w:tr>
        <w:tc>
          <w:tcPr>
            <w:tcW w:type="dxa" w:w="615"/>
          </w:tcPr>
          <w:p>
            <w:pPr>
              <w:pStyle w:val="Compact"/>
              <w:spacing w:after="20" w:before="20"/>
              <w:jc w:val="left"/>
            </w:pPr>
            <w:r>
              <w:rPr>
                <w:sz w:val="17"/>
              </w:rPr>
              <w:t xml:space="preserve">L18</w:t>
            </w:r>
          </w:p>
        </w:tc>
        <w:tc>
          <w:tcPr>
            <w:tcW w:type="dxa" w:w="3153"/>
          </w:tcPr>
          <w:p>
            <w:pPr>
              <w:pStyle w:val="Compact"/>
              <w:spacing w:after="20" w:before="20"/>
              <w:jc w:val="left"/>
            </w:pPr>
            <w:r>
              <w:rPr>
                <w:sz w:val="17"/>
              </w:rPr>
              <w:t xml:space="preserve">NAS vendor binaries change names between releases; a renamed sync or backup client escapes the restricted app group.</w:t>
            </w:r>
          </w:p>
        </w:tc>
        <w:tc>
          <w:tcPr>
            <w:tcW w:type="dxa" w:w="2943"/>
          </w:tcPr>
          <w:p>
            <w:pPr>
              <w:pStyle w:val="Compact"/>
              <w:spacing w:after="20" w:before="20"/>
              <w:jc w:val="left"/>
            </w:pPr>
            <w:r>
              <w:rPr>
                <w:sz w:val="17"/>
              </w:rPr>
              <w:t xml:space="preserve">Bypass of UC-06 and UC-13</w:t>
            </w:r>
          </w:p>
        </w:tc>
        <w:tc>
          <w:tcPr>
            <w:tcW w:type="dxa" w:w="3154"/>
          </w:tcPr>
          <w:p>
            <w:pPr>
              <w:pStyle w:val="Compact"/>
              <w:spacing w:after="20" w:before="20"/>
              <w:jc w:val="left"/>
            </w:pPr>
            <w:r>
              <w:rPr>
                <w:sz w:val="17"/>
              </w:rPr>
              <w:t xml:space="preserve">Intune application control (allow-list of installable software); monthly software inventory review</w:t>
            </w:r>
          </w:p>
        </w:tc>
      </w:tr>
      <w:tr>
        <w:tc>
          <w:tcPr>
            <w:tcW w:type="dxa" w:w="615"/>
          </w:tcPr>
          <w:p>
            <w:pPr>
              <w:pStyle w:val="Compact"/>
              <w:spacing w:after="20" w:before="20"/>
              <w:jc w:val="left"/>
            </w:pPr>
            <w:r>
              <w:rPr>
                <w:sz w:val="17"/>
              </w:rPr>
              <w:t xml:space="preserve">L19</w:t>
            </w:r>
          </w:p>
        </w:tc>
        <w:tc>
          <w:tcPr>
            <w:tcW w:type="dxa" w:w="3153"/>
          </w:tcPr>
          <w:p>
            <w:pPr>
              <w:pStyle w:val="Compact"/>
              <w:spacing w:after="20" w:before="20"/>
              <w:jc w:val="left"/>
            </w:pPr>
            <w:r>
              <w:rPr>
                <w:sz w:val="17"/>
              </w:rPr>
              <w:t xml:space="preserve">The home router may expose the NAS to the internet (port forwarding, UPnP), and the bank has no control over the home network.</w:t>
            </w:r>
          </w:p>
        </w:tc>
        <w:tc>
          <w:tcPr>
            <w:tcW w:type="dxa" w:w="2943"/>
          </w:tcPr>
          <w:p>
            <w:pPr>
              <w:pStyle w:val="Compact"/>
              <w:spacing w:after="20" w:before="20"/>
              <w:jc w:val="left"/>
            </w:pPr>
            <w:r>
              <w:rPr>
                <w:sz w:val="17"/>
              </w:rPr>
              <w:t xml:space="preserve">Does not change endpoint enforcement, but a NAS that already holds leaked files is exposed to the internet</w:t>
            </w:r>
          </w:p>
        </w:tc>
        <w:tc>
          <w:tcPr>
            <w:tcW w:type="dxa" w:w="3154"/>
          </w:tcPr>
          <w:p>
            <w:pPr>
              <w:pStyle w:val="Compact"/>
              <w:spacing w:after="20" w:before="20"/>
              <w:jc w:val="left"/>
            </w:pPr>
            <w:r>
              <w:rPr>
                <w:sz w:val="17"/>
              </w:rPr>
              <w:t xml:space="preserve">Out of scope; user awareness material</w:t>
            </w:r>
          </w:p>
        </w:tc>
      </w:tr>
      <w:tr>
        <w:tc>
          <w:tcPr>
            <w:tcW w:type="dxa" w:w="615"/>
          </w:tcPr>
          <w:p>
            <w:pPr>
              <w:pStyle w:val="Compact"/>
              <w:spacing w:after="20" w:before="20"/>
              <w:jc w:val="left"/>
            </w:pPr>
            <w:r>
              <w:rPr>
                <w:sz w:val="17"/>
              </w:rPr>
              <w:t xml:space="preserve">L20</w:t>
            </w:r>
          </w:p>
        </w:tc>
        <w:tc>
          <w:tcPr>
            <w:tcW w:type="dxa" w:w="3153"/>
          </w:tcPr>
          <w:p>
            <w:pPr>
              <w:pStyle w:val="Compact"/>
              <w:spacing w:after="20" w:before="20"/>
              <w:jc w:val="left"/>
            </w:pPr>
            <w:r>
              <w:rPr>
                <w:sz w:val="17"/>
              </w:rPr>
              <w:t xml:space="preserve">Personal devices on the home LAN (family PC, phone) can read anything that reached the NAS.</w:t>
            </w:r>
          </w:p>
        </w:tc>
        <w:tc>
          <w:tcPr>
            <w:tcW w:type="dxa" w:w="2943"/>
          </w:tcPr>
          <w:p>
            <w:pPr>
              <w:pStyle w:val="Compact"/>
              <w:spacing w:after="20" w:before="20"/>
              <w:jc w:val="left"/>
            </w:pPr>
            <w:r>
              <w:rPr>
                <w:sz w:val="17"/>
              </w:rPr>
              <w:t xml:space="preserve">Any file that bypasses the controls is immediately shared beyond the employee</w:t>
            </w:r>
          </w:p>
        </w:tc>
        <w:tc>
          <w:tcPr>
            <w:tcW w:type="dxa" w:w="3154"/>
          </w:tcPr>
          <w:p>
            <w:pPr>
              <w:pStyle w:val="Compact"/>
              <w:spacing w:after="20" w:before="20"/>
              <w:jc w:val="left"/>
            </w:pPr>
            <w:r>
              <w:rPr>
                <w:sz w:val="17"/>
              </w:rPr>
              <w:t xml:space="preserve">Reinforces Block rather than Block with override for Tier 3</w:t>
            </w:r>
          </w:p>
        </w:tc>
      </w:tr>
      <w:tr>
        <w:tc>
          <w:tcPr>
            <w:tcW w:type="dxa" w:w="615"/>
          </w:tcPr>
          <w:p>
            <w:pPr>
              <w:pStyle w:val="Compact"/>
              <w:spacing w:after="20" w:before="20"/>
              <w:jc w:val="left"/>
            </w:pPr>
            <w:r>
              <w:rPr>
                <w:sz w:val="17"/>
              </w:rPr>
              <w:t xml:space="preserve">L21</w:t>
            </w:r>
          </w:p>
        </w:tc>
        <w:tc>
          <w:tcPr>
            <w:tcW w:type="dxa" w:w="3153"/>
          </w:tcPr>
          <w:p>
            <w:pPr>
              <w:pStyle w:val="Compact"/>
              <w:spacing w:after="20" w:before="20"/>
              <w:jc w:val="left"/>
            </w:pPr>
            <w:r>
              <w:rPr>
                <w:sz w:val="17"/>
              </w:rPr>
              <w:t xml:space="preserve">Works council agreement may restrict evidence collection, per-user alerting, or retention.</w:t>
            </w:r>
          </w:p>
        </w:tc>
        <w:tc>
          <w:tcPr>
            <w:tcW w:type="dxa" w:w="2943"/>
          </w:tcPr>
          <w:p>
            <w:pPr>
              <w:pStyle w:val="Compact"/>
              <w:spacing w:after="20" w:before="20"/>
              <w:jc w:val="left"/>
            </w:pPr>
            <w:r>
              <w:rPr>
                <w:sz w:val="17"/>
              </w:rPr>
              <w:t xml:space="preserve">Reduced forensic capability</w:t>
            </w:r>
          </w:p>
        </w:tc>
        <w:tc>
          <w:tcPr>
            <w:tcW w:type="dxa" w:w="3154"/>
          </w:tcPr>
          <w:p>
            <w:pPr>
              <w:pStyle w:val="Compact"/>
              <w:spacing w:after="20" w:before="20"/>
              <w:jc w:val="left"/>
            </w:pPr>
            <w:r>
              <w:rPr>
                <w:sz w:val="17"/>
              </w:rPr>
              <w:t xml:space="preserve">Design alerting with aggregated views; keep evidence collection to Tier 3; agree retention</w:t>
            </w:r>
          </w:p>
        </w:tc>
      </w:tr>
    </w:tbl>
    <w:p>
      <w:r>
        <w:pict>
          <v:rect style="width:0;height:1.5pt" o:hralign="center" o:hrstd="t" o:hr="t"/>
        </w:pict>
      </w:r>
    </w:p>
    <w:bookmarkEnd w:id="62"/>
    <w:bookmarkStart w:id="69" w:name="X8f549ce48f8bc01292cf22aecb2ffbd682ec52d"/>
    <w:p>
      <w:pPr>
        <w:pStyle w:val="Heading2"/>
      </w:pPr>
      <w:r>
        <w:t xml:space="preserve">11. Complementary controls</w:t>
      </w:r>
    </w:p>
    <w:p>
      <w:pPr>
        <w:pStyle w:val="FirstParagraph"/>
      </w:pPr>
      <w:r>
        <w:t xml:space="preserve">The red-team review in Annex A promotes the Conditional Access and unmanaged-device controls in 11.2 to prerequisites (RT-01). The remaining controls stay recommended.</w:t>
      </w:r>
    </w:p>
    <w:bookmarkStart w:id="63" w:name="X0d759ac3afe2dc52467a762473ee9402a65df00"/>
    <w:p>
      <w:pPr>
        <w:pStyle w:val="Heading3"/>
      </w:pPr>
      <w:r>
        <w:t xml:space="preserve">11.1 Microsoft Defender for Cloud Apps: discover and block unsanctioned cloud storage</w:t>
      </w:r>
    </w:p>
    <w:p>
      <w:pPr>
        <w:pStyle w:val="FirstParagraph"/>
      </w:pPr>
      <w:r>
        <w:t xml:space="preserve">Cloud Discovery, fed by Defender for Endpoint telemetry, lists every cloud app users reach, with risk scores. Tagging an app as</w:t>
      </w:r>
      <w:r>
        <w:t xml:space="preserve"> </w:t>
      </w:r>
      <w:r>
        <w:rPr>
          <w:bCs/>
          <w:b/>
        </w:rPr>
        <w:t xml:space="preserve">Unsanctioned</w:t>
      </w:r>
      <w:r>
        <w:t xml:space="preserve"> </w:t>
      </w:r>
      <w:r>
        <w:t xml:space="preserve">pushes its domains to Defender for Endpoint network protection, which blocks access to the app entirely on onboarded devices within about three hours, regardless of file labels and regardless of browser. This is the right tool for "nobody should use Dropbox, QuickConnect, or myQNAPcloud at all from a bank device". Endpoint DLP is the right tool for "nobody should put</w:t>
      </w:r>
      <w:r>
        <w:t xml:space="preserve"> </w:t>
      </w:r>
      <w:r>
        <w:rPr>
          <w:iCs/>
          <w:i/>
        </w:rPr>
        <w:t xml:space="preserve">labeled</w:t>
      </w:r>
      <w:r>
        <w:t xml:space="preserve"> </w:t>
      </w:r>
      <w:r>
        <w:t xml:space="preserve">files anywhere but Microsoft 365". Use both. Note that Defender for Cloud Apps blocks internet domains; it does not block a home NAS on a private LAN address, which is why Endpoint DLP carries UC-01 and UC-03. Prerequisites: Defender for Endpoint cloud protection and network protection on, custom network indicators enabled, Defender browser protection add-on in non-Microsoft browsers. Full-path URLs are not supported; domains are. A "warn and educate" mode exists for a softer start. Two limits apply (corrected in v0.3). Vendor relay services such as QuickConnect can negotiate a direct connection to the home NAS instead of using the relay domain, so a domain block does not guarantee the session is stopped. And network protection blocks connections from any process, not only browsers, but only for the cataloged domains you unsanction; it never sees a home NAS on a private address.</w:t>
      </w:r>
    </w:p>
    <w:bookmarkEnd w:id="63"/>
    <w:bookmarkStart w:id="64" w:name="Xfb0d9f60e5208c0122d99b14445ec234a98ad2f"/>
    <w:p>
      <w:pPr>
        <w:pStyle w:val="Heading3"/>
      </w:pPr>
      <w:r>
        <w:t xml:space="preserve">11.2 Defender for Cloud Apps session policies (Conditional Access App Control)</w:t>
      </w:r>
    </w:p>
    <w:p>
      <w:pPr>
        <w:pStyle w:val="FirstParagraph"/>
      </w:pPr>
      <w:r>
        <w:t xml:space="preserve">For sanctioned SaaS apps federated with Entra ID, session policies can block upload of unlabeled files, block download of labeled files to unmanaged devices, and block cut/copy/print in the browser session. This covers the BYOD gap (L9) for Microsoft 365 itself. It does not see LAN NAS traffic.</w:t>
      </w:r>
    </w:p>
    <w:bookmarkEnd w:id="64"/>
    <w:bookmarkStart w:id="65" w:name="Xa38c8b7b01ebd8e5141dd8dcc491638933ddaa3"/>
    <w:p>
      <w:pPr>
        <w:pStyle w:val="Heading3"/>
      </w:pPr>
      <w:r>
        <w:t xml:space="preserve">11.3 Microsoft Edge for Business data protection</w:t>
      </w:r>
    </w:p>
    <w:p>
      <w:pPr>
        <w:pStyle w:val="FirstParagraph"/>
      </w:pPr>
      <w:r>
        <w:t xml:space="preserve">Protected Clipboard (preview) and screen capture protection in Edge for Business restrict copy/paste out of the managed browser profile and block screenshots of protected pages. Useful against L2 and L10 for content viewed in Microsoft 365 web apps.</w:t>
      </w:r>
    </w:p>
    <w:bookmarkEnd w:id="65"/>
    <w:bookmarkStart w:id="66" w:name="X9dea0eb03081bc3964cfaa5530a055a4af2cac0"/>
    <w:p>
      <w:pPr>
        <w:pStyle w:val="Heading3"/>
      </w:pPr>
      <w:r>
        <w:t xml:space="preserve">11.4 Purview Network Data Security (Microsoft Entra Global Secure Access integration, GA September 2026)</w:t>
      </w:r>
    </w:p>
    <w:p>
      <w:pPr>
        <w:pStyle w:val="FirstParagraph"/>
      </w:pPr>
      <w:r>
        <w:t xml:space="preserve">Extends DLP inspection to the network layer for traffic from managed devices, including non-Microsoft browsers, native apps, and APIs. Candidate for a later phase to close the unsupported-browser and native-app gaps (L5). Requires Global Secure Access licensing and client deployment. Not verified in depth for this document; confidence on fit: medium.</w:t>
      </w:r>
    </w:p>
    <w:bookmarkEnd w:id="66"/>
    <w:bookmarkStart w:id="67" w:name="Xf889981526392a31fe2a04d499b1e3cf8f801a1"/>
    <w:p>
      <w:pPr>
        <w:pStyle w:val="Heading3"/>
      </w:pPr>
      <w:r>
        <w:t xml:space="preserve">11.5 Host firewall and always-on VPN</w:t>
      </w:r>
    </w:p>
    <w:p>
      <w:pPr>
        <w:pStyle w:val="FirstParagraph"/>
      </w:pPr>
      <w:r>
        <w:t xml:space="preserve">The bank does not control the home LAN, so network ACLs on the LAN are not available. Two device-side measures substitute for them. First, a Windows Defender Firewall / macOS firewall policy via Intune that blocks outbound SMB (TCP 445), FTP (21), and common NAS web UI ports (5000, 5001, 8080, 8443) to RFC1918 destinations except the corporate VPN ranges. This does not depend on labels or on DLP classification and stops unlabeled files too, at the cost of blocking home printers that use SMB. Second, an always-on VPN with no split tunneling for internet traffic, so that relay services and cloud storage are reached through the bank's egress, where web filtering applies. Both are coarse and both are worth evaluating as a second layer; neither replaces Endpoint DLP for the labeled-data requirement.</w:t>
      </w:r>
    </w:p>
    <w:bookmarkEnd w:id="67"/>
    <w:bookmarkStart w:id="68" w:name="Xf749be6a12894e5691ace6e584c61cc134cb3f2"/>
    <w:p>
      <w:pPr>
        <w:pStyle w:val="Heading3"/>
      </w:pPr>
      <w:r>
        <w:t xml:space="preserve">11.6 Insider Risk Management</w:t>
      </w:r>
    </w:p>
    <w:p>
      <w:pPr>
        <w:pStyle w:val="FirstParagraph"/>
      </w:pPr>
      <w:r>
        <w:t xml:space="preserve">Correlates DLP events with HR signals (resignation, performance) to surface sequences such as "downloaded many Tier 3 files, then attempted NAS copy, then overrode". Recommended once Phase 5 is complete and event volume is understood.</w:t>
      </w:r>
    </w:p>
    <w:p>
      <w:r>
        <w:pict>
          <v:rect style="width:0;height:1.5pt" o:hralign="center" o:hrstd="t" o:hr="t"/>
        </w:pict>
      </w:r>
    </w:p>
    <w:bookmarkEnd w:id="68"/>
    <w:bookmarkEnd w:id="69"/>
    <w:bookmarkStart w:id="70" w:name="X8ea307fa65f925c2b36e946d019618f307ae380"/>
    <w:p>
      <w:pPr>
        <w:pStyle w:val="Heading2"/>
      </w:pPr>
      <w:r>
        <w:t xml:space="preserve">12. Open items and information needed</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643"/>
        <w:gridCol w:w="4375"/>
        <w:gridCol w:w="2144"/>
        <w:gridCol w:w="1770"/>
        <w:gridCol w:w="933"/>
      </w:tblGrid>
      <w:tr>
        <w:trPr>
          <w:tblHeader w:val="true"/>
          <w:tblHeader w:val="true"/>
        </w:trPr>
        <w:tc>
          <w:tcPr>
            <w:tcW w:type="dxa" w:w="643"/>
            <w:shd w:val="clear" w:color="auto" w:fill="DCE6F1"/>
          </w:tcPr>
          <w:p>
            <w:pPr>
              <w:pStyle w:val="Compact"/>
              <w:spacing w:after="20" w:before="20"/>
              <w:jc w:val="left"/>
            </w:pPr>
            <w:r>
              <w:rPr>
                <w:b/>
                <w:sz w:val="17"/>
              </w:rPr>
              <w:t xml:space="preserve">#</w:t>
            </w:r>
          </w:p>
        </w:tc>
        <w:tc>
          <w:tcPr>
            <w:tcW w:type="dxa" w:w="4375"/>
            <w:shd w:val="clear" w:color="auto" w:fill="DCE6F1"/>
          </w:tcPr>
          <w:p>
            <w:pPr>
              <w:pStyle w:val="Compact"/>
              <w:spacing w:after="20" w:before="20"/>
              <w:jc w:val="left"/>
            </w:pPr>
            <w:r>
              <w:rPr>
                <w:b/>
                <w:sz w:val="17"/>
              </w:rPr>
              <w:t xml:space="preserve">Item</w:t>
            </w:r>
          </w:p>
        </w:tc>
        <w:tc>
          <w:tcPr>
            <w:tcW w:type="dxa" w:w="2144"/>
            <w:shd w:val="clear" w:color="auto" w:fill="DCE6F1"/>
          </w:tcPr>
          <w:p>
            <w:pPr>
              <w:pStyle w:val="Compact"/>
              <w:spacing w:after="20" w:before="20"/>
              <w:jc w:val="left"/>
            </w:pPr>
            <w:r>
              <w:rPr>
                <w:b/>
                <w:sz w:val="17"/>
              </w:rPr>
              <w:t xml:space="preserve">Needed for</w:t>
            </w:r>
          </w:p>
        </w:tc>
        <w:tc>
          <w:tcPr>
            <w:tcW w:type="dxa" w:w="1770"/>
            <w:shd w:val="clear" w:color="auto" w:fill="DCE6F1"/>
          </w:tcPr>
          <w:p>
            <w:pPr>
              <w:pStyle w:val="Compact"/>
              <w:spacing w:after="20" w:before="20"/>
              <w:jc w:val="left"/>
            </w:pPr>
            <w:r>
              <w:rPr>
                <w:b/>
                <w:sz w:val="17"/>
              </w:rPr>
              <w:t xml:space="preserve">Owner</w:t>
            </w:r>
          </w:p>
        </w:tc>
        <w:tc>
          <w:tcPr>
            <w:tcW w:type="dxa" w:w="933"/>
            <w:shd w:val="clear" w:color="auto" w:fill="DCE6F1"/>
          </w:tcPr>
          <w:p>
            <w:pPr>
              <w:pStyle w:val="Compact"/>
              <w:spacing w:after="20" w:before="20"/>
              <w:jc w:val="left"/>
            </w:pPr>
            <w:r>
              <w:rPr>
                <w:b/>
                <w:sz w:val="17"/>
              </w:rPr>
              <w:t xml:space="preserve">Due</w:t>
            </w:r>
          </w:p>
        </w:tc>
      </w:tr>
      <w:tr>
        <w:tc>
          <w:tcPr>
            <w:tcW w:type="dxa" w:w="643"/>
          </w:tcPr>
          <w:p>
            <w:pPr>
              <w:pStyle w:val="Compact"/>
              <w:spacing w:after="20" w:before="20"/>
              <w:jc w:val="left"/>
            </w:pPr>
            <w:r>
              <w:rPr>
                <w:sz w:val="17"/>
              </w:rPr>
              <w:t xml:space="preserve">O1</w:t>
            </w:r>
          </w:p>
        </w:tc>
        <w:tc>
          <w:tcPr>
            <w:tcW w:type="dxa" w:w="4375"/>
          </w:tcPr>
          <w:p>
            <w:pPr>
              <w:pStyle w:val="Compact"/>
              <w:spacing w:after="20" w:before="20"/>
              <w:jc w:val="left"/>
            </w:pPr>
            <w:r>
              <w:rPr>
                <w:sz w:val="17"/>
              </w:rPr>
              <w:t xml:space="preserve">Confirm the target is Defender for Cloud</w:t>
            </w:r>
            <w:r>
              <w:rPr>
                <w:sz w:val="17"/>
              </w:rPr>
              <w:t xml:space="preserve"> </w:t>
            </w:r>
            <w:r>
              <w:rPr>
                <w:iCs/>
                <w:i/>
                <w:sz w:val="17"/>
              </w:rPr>
              <w:t xml:space="preserve">Apps</w:t>
            </w:r>
            <w:r>
              <w:rPr>
                <w:sz w:val="17"/>
              </w:rPr>
              <w:t xml:space="preserve">, not Defender for Cloud</w:t>
            </w:r>
          </w:p>
        </w:tc>
        <w:tc>
          <w:tcPr>
            <w:tcW w:type="dxa" w:w="2144"/>
          </w:tcPr>
          <w:p>
            <w:pPr>
              <w:pStyle w:val="Compact"/>
              <w:spacing w:after="20" w:before="20"/>
              <w:jc w:val="left"/>
            </w:pPr>
            <w:r>
              <w:rPr>
                <w:sz w:val="17"/>
              </w:rPr>
              <w:t xml:space="preserve">Section 2.3, 11</w:t>
            </w:r>
          </w:p>
        </w:tc>
        <w:tc>
          <w:tcPr>
            <w:tcW w:type="dxa" w:w="1770"/>
          </w:tcPr>
          <w:p>
            <w:pPr>
              <w:pStyle w:val="Compact"/>
              <w:spacing w:after="20" w:before="20"/>
              <w:jc w:val="left"/>
            </w:pPr>
            <w:r>
              <w:rPr>
                <w:rStyle w:val="VerbatimChar"/>
                <w:sz w:val="17"/>
              </w:rPr>
              <w:t xml:space="preserve">[TBD]</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O2</w:t>
            </w:r>
          </w:p>
        </w:tc>
        <w:tc>
          <w:tcPr>
            <w:tcW w:type="dxa" w:w="4375"/>
          </w:tcPr>
          <w:p>
            <w:pPr>
              <w:pStyle w:val="Compact"/>
              <w:spacing w:after="20" w:before="20"/>
              <w:jc w:val="left"/>
            </w:pPr>
            <w:r>
              <w:rPr>
                <w:sz w:val="17"/>
              </w:rPr>
              <w:t xml:space="preserve">Sensitivity label names and tier mapping (4.1)</w:t>
            </w:r>
          </w:p>
        </w:tc>
        <w:tc>
          <w:tcPr>
            <w:tcW w:type="dxa" w:w="2144"/>
          </w:tcPr>
          <w:p>
            <w:pPr>
              <w:pStyle w:val="Compact"/>
              <w:spacing w:after="20" w:before="20"/>
              <w:jc w:val="left"/>
            </w:pPr>
            <w:r>
              <w:rPr>
                <w:sz w:val="17"/>
              </w:rPr>
              <w:t xml:space="preserve">EDLP-01, 02, 05</w:t>
            </w:r>
          </w:p>
        </w:tc>
        <w:tc>
          <w:tcPr>
            <w:tcW w:type="dxa" w:w="1770"/>
          </w:tcPr>
          <w:p>
            <w:pPr>
              <w:pStyle w:val="Compact"/>
              <w:spacing w:after="20" w:before="20"/>
              <w:jc w:val="left"/>
            </w:pPr>
            <w:r>
              <w:rPr>
                <w:sz w:val="17"/>
              </w:rPr>
              <w:t xml:space="preserve">Information protection owner</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O3</w:t>
            </w:r>
          </w:p>
        </w:tc>
        <w:tc>
          <w:tcPr>
            <w:tcW w:type="dxa" w:w="4375"/>
          </w:tcPr>
          <w:p>
            <w:pPr>
              <w:pStyle w:val="Compact"/>
              <w:spacing w:after="20" w:before="20"/>
              <w:jc w:val="left"/>
            </w:pPr>
            <w:r>
              <w:rPr>
                <w:sz w:val="17"/>
              </w:rPr>
              <w:t xml:space="preserve">Current labeling coverage figure</w:t>
            </w:r>
          </w:p>
        </w:tc>
        <w:tc>
          <w:tcPr>
            <w:tcW w:type="dxa" w:w="2144"/>
          </w:tcPr>
          <w:p>
            <w:pPr>
              <w:pStyle w:val="Compact"/>
              <w:spacing w:after="20" w:before="20"/>
              <w:jc w:val="left"/>
            </w:pPr>
            <w:r>
              <w:rPr>
                <w:sz w:val="17"/>
              </w:rPr>
              <w:t xml:space="preserve">Risk L1 decision</w:t>
            </w:r>
          </w:p>
        </w:tc>
        <w:tc>
          <w:tcPr>
            <w:tcW w:type="dxa" w:w="1770"/>
          </w:tcPr>
          <w:p>
            <w:pPr>
              <w:pStyle w:val="Compact"/>
              <w:spacing w:after="20" w:before="20"/>
              <w:jc w:val="left"/>
            </w:pPr>
            <w:r>
              <w:rPr>
                <w:sz w:val="17"/>
              </w:rPr>
              <w:t xml:space="preserve">Information protection owner</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O4</w:t>
            </w:r>
          </w:p>
        </w:tc>
        <w:tc>
          <w:tcPr>
            <w:tcW w:type="dxa" w:w="4375"/>
          </w:tcPr>
          <w:p>
            <w:pPr>
              <w:pStyle w:val="Compact"/>
              <w:spacing w:after="20" w:before="20"/>
              <w:jc w:val="left"/>
            </w:pPr>
            <w:r>
              <w:rPr>
                <w:sz w:val="17"/>
              </w:rPr>
              <w:t xml:space="preserve">Exact Microsoft 365 hostnames to allow-list (4.2); any other sanctioned SaaS</w:t>
            </w:r>
          </w:p>
        </w:tc>
        <w:tc>
          <w:tcPr>
            <w:tcW w:type="dxa" w:w="2144"/>
          </w:tcPr>
          <w:p>
            <w:pPr>
              <w:pStyle w:val="Compact"/>
              <w:spacing w:after="20" w:before="20"/>
              <w:jc w:val="left"/>
            </w:pPr>
            <w:r>
              <w:rPr>
                <w:sz w:val="17"/>
              </w:rPr>
              <w:t xml:space="preserve">Service domains Allow list</w:t>
            </w:r>
          </w:p>
        </w:tc>
        <w:tc>
          <w:tcPr>
            <w:tcW w:type="dxa" w:w="1770"/>
          </w:tcPr>
          <w:p>
            <w:pPr>
              <w:pStyle w:val="Compact"/>
              <w:spacing w:after="20" w:before="20"/>
              <w:jc w:val="left"/>
            </w:pPr>
            <w:r>
              <w:rPr>
                <w:sz w:val="17"/>
              </w:rPr>
              <w:t xml:space="preserve">M365 admin</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O5</w:t>
            </w:r>
          </w:p>
        </w:tc>
        <w:tc>
          <w:tcPr>
            <w:tcW w:type="dxa" w:w="4375"/>
          </w:tcPr>
          <w:p>
            <w:pPr>
              <w:pStyle w:val="Compact"/>
              <w:spacing w:after="20" w:before="20"/>
              <w:jc w:val="left"/>
            </w:pPr>
            <w:r>
              <w:rPr>
                <w:sz w:val="17"/>
              </w:rPr>
              <w:t xml:space="preserve">Corporate file servers still reached from managed devices, or confirmation that there are none (4.3)</w:t>
            </w:r>
          </w:p>
        </w:tc>
        <w:tc>
          <w:tcPr>
            <w:tcW w:type="dxa" w:w="2144"/>
          </w:tcPr>
          <w:p>
            <w:pPr>
              <w:pStyle w:val="Compact"/>
              <w:spacing w:after="20" w:before="20"/>
              <w:jc w:val="left"/>
            </w:pPr>
            <w:r>
              <w:rPr>
                <w:sz w:val="17"/>
              </w:rPr>
              <w:t xml:space="preserve">Network share group</w:t>
            </w:r>
          </w:p>
        </w:tc>
        <w:tc>
          <w:tcPr>
            <w:tcW w:type="dxa" w:w="1770"/>
          </w:tcPr>
          <w:p>
            <w:pPr>
              <w:pStyle w:val="Compact"/>
              <w:spacing w:after="20" w:before="20"/>
              <w:jc w:val="left"/>
            </w:pPr>
            <w:r>
              <w:rPr>
                <w:sz w:val="17"/>
              </w:rPr>
              <w:t xml:space="preserve">Infrastructure team</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O6</w:t>
            </w:r>
          </w:p>
        </w:tc>
        <w:tc>
          <w:tcPr>
            <w:tcW w:type="dxa" w:w="4375"/>
          </w:tcPr>
          <w:p>
            <w:pPr>
              <w:pStyle w:val="Compact"/>
              <w:spacing w:after="20" w:before="20"/>
              <w:jc w:val="left"/>
            </w:pPr>
            <w:r>
              <w:rPr>
                <w:sz w:val="17"/>
              </w:rPr>
              <w:t xml:space="preserve">Internal web apps that accept uploads from managed devices, or confirmation that there are none (4.4); corporate VPN address ranges (for 11.5)</w:t>
            </w:r>
          </w:p>
        </w:tc>
        <w:tc>
          <w:tcPr>
            <w:tcW w:type="dxa" w:w="2144"/>
          </w:tcPr>
          <w:p>
            <w:pPr>
              <w:pStyle w:val="Compact"/>
              <w:spacing w:after="20" w:before="20"/>
              <w:jc w:val="left"/>
            </w:pPr>
            <w:r>
              <w:rPr>
                <w:sz w:val="17"/>
              </w:rPr>
              <w:t xml:space="preserve">SSD group; host firewall policy</w:t>
            </w:r>
          </w:p>
        </w:tc>
        <w:tc>
          <w:tcPr>
            <w:tcW w:type="dxa" w:w="1770"/>
          </w:tcPr>
          <w:p>
            <w:pPr>
              <w:pStyle w:val="Compact"/>
              <w:spacing w:after="20" w:before="20"/>
              <w:jc w:val="left"/>
            </w:pPr>
            <w:r>
              <w:rPr>
                <w:sz w:val="17"/>
              </w:rPr>
              <w:t xml:space="preserve">Infrastructure team</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O7</w:t>
            </w:r>
          </w:p>
        </w:tc>
        <w:tc>
          <w:tcPr>
            <w:tcW w:type="dxa" w:w="4375"/>
          </w:tcPr>
          <w:p>
            <w:pPr>
              <w:pStyle w:val="Compact"/>
              <w:spacing w:after="20" w:before="20"/>
              <w:jc w:val="left"/>
            </w:pPr>
            <w:r>
              <w:rPr>
                <w:sz w:val="17"/>
              </w:rPr>
              <w:t xml:space="preserve">Desktop sync clients and NAS backup agents present on devices, with exact executable names (4.5)</w:t>
            </w:r>
          </w:p>
        </w:tc>
        <w:tc>
          <w:tcPr>
            <w:tcW w:type="dxa" w:w="2144"/>
          </w:tcPr>
          <w:p>
            <w:pPr>
              <w:pStyle w:val="Compact"/>
              <w:spacing w:after="20" w:before="20"/>
              <w:jc w:val="left"/>
            </w:pPr>
            <w:r>
              <w:rPr>
                <w:sz w:val="17"/>
              </w:rPr>
              <w:t xml:space="preserve">Restricted app group</w:t>
            </w:r>
          </w:p>
        </w:tc>
        <w:tc>
          <w:tcPr>
            <w:tcW w:type="dxa" w:w="1770"/>
          </w:tcPr>
          <w:p>
            <w:pPr>
              <w:pStyle w:val="Compact"/>
              <w:spacing w:after="20" w:before="20"/>
              <w:jc w:val="left"/>
            </w:pPr>
            <w:r>
              <w:rPr>
                <w:sz w:val="17"/>
              </w:rPr>
              <w:t xml:space="preserve">Endpoint team</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O7a</w:t>
            </w:r>
          </w:p>
        </w:tc>
        <w:tc>
          <w:tcPr>
            <w:tcW w:type="dxa" w:w="4375"/>
          </w:tcPr>
          <w:p>
            <w:pPr>
              <w:pStyle w:val="Compact"/>
              <w:spacing w:after="20" w:before="20"/>
              <w:jc w:val="left"/>
            </w:pPr>
            <w:r>
              <w:rPr>
                <w:sz w:val="17"/>
              </w:rPr>
              <w:t xml:space="preserve">NAS relay service domains observed in Cloud Discovery (4.5)</w:t>
            </w:r>
          </w:p>
        </w:tc>
        <w:tc>
          <w:tcPr>
            <w:tcW w:type="dxa" w:w="2144"/>
          </w:tcPr>
          <w:p>
            <w:pPr>
              <w:pStyle w:val="Compact"/>
              <w:spacing w:after="20" w:before="20"/>
              <w:jc w:val="left"/>
            </w:pPr>
            <w:r>
              <w:rPr>
                <w:sz w:val="17"/>
              </w:rPr>
              <w:t xml:space="preserve">SSD group; Defender for Cloud Apps unsanction list</w:t>
            </w:r>
          </w:p>
        </w:tc>
        <w:tc>
          <w:tcPr>
            <w:tcW w:type="dxa" w:w="1770"/>
          </w:tcPr>
          <w:p>
            <w:pPr>
              <w:pStyle w:val="Compact"/>
              <w:spacing w:after="20" w:before="20"/>
              <w:jc w:val="left"/>
            </w:pPr>
            <w:r>
              <w:rPr>
                <w:sz w:val="17"/>
              </w:rPr>
              <w:t xml:space="preserve">Security</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O7b</w:t>
            </w:r>
          </w:p>
        </w:tc>
        <w:tc>
          <w:tcPr>
            <w:tcW w:type="dxa" w:w="4375"/>
          </w:tcPr>
          <w:p>
            <w:pPr>
              <w:pStyle w:val="Compact"/>
              <w:spacing w:after="20" w:before="20"/>
              <w:jc w:val="left"/>
            </w:pPr>
            <w:r>
              <w:rPr>
                <w:sz w:val="17"/>
              </w:rPr>
              <w:t xml:space="preserve">Works council and DPO consultation status; agreed scope of monitoring, evidence collection, retention</w:t>
            </w:r>
          </w:p>
        </w:tc>
        <w:tc>
          <w:tcPr>
            <w:tcW w:type="dxa" w:w="2144"/>
          </w:tcPr>
          <w:p>
            <w:pPr>
              <w:pStyle w:val="Compact"/>
              <w:spacing w:after="20" w:before="20"/>
              <w:jc w:val="left"/>
            </w:pPr>
            <w:r>
              <w:rPr>
                <w:sz w:val="17"/>
              </w:rPr>
              <w:t xml:space="preserve">Phases 3 to 6</w:t>
            </w:r>
          </w:p>
        </w:tc>
        <w:tc>
          <w:tcPr>
            <w:tcW w:type="dxa" w:w="1770"/>
          </w:tcPr>
          <w:p>
            <w:pPr>
              <w:pStyle w:val="Compact"/>
              <w:spacing w:after="20" w:before="20"/>
              <w:jc w:val="left"/>
            </w:pPr>
            <w:r>
              <w:rPr>
                <w:sz w:val="17"/>
              </w:rPr>
              <w:t xml:space="preserve">HR + legal</w:t>
            </w:r>
          </w:p>
        </w:tc>
        <w:tc>
          <w:tcPr>
            <w:tcW w:type="dxa" w:w="933"/>
          </w:tcPr>
          <w:p>
            <w:pPr>
              <w:pStyle w:val="Compact"/>
              <w:spacing w:after="20" w:before="20"/>
              <w:jc w:val="left"/>
            </w:pPr>
            <w:r>
              <w:rPr>
                <w:sz w:val="17"/>
              </w:rPr>
              <w:t xml:space="preserve">Before Phase 3</w:t>
            </w:r>
          </w:p>
        </w:tc>
      </w:tr>
      <w:tr>
        <w:tc>
          <w:tcPr>
            <w:tcW w:type="dxa" w:w="643"/>
          </w:tcPr>
          <w:p>
            <w:pPr>
              <w:pStyle w:val="Compact"/>
              <w:spacing w:after="20" w:before="20"/>
              <w:jc w:val="left"/>
            </w:pPr>
            <w:r>
              <w:rPr>
                <w:sz w:val="17"/>
              </w:rPr>
              <w:t xml:space="preserve">O7c</w:t>
            </w:r>
          </w:p>
        </w:tc>
        <w:tc>
          <w:tcPr>
            <w:tcW w:type="dxa" w:w="4375"/>
          </w:tcPr>
          <w:p>
            <w:pPr>
              <w:pStyle w:val="Compact"/>
              <w:spacing w:after="20" w:before="20"/>
              <w:jc w:val="left"/>
            </w:pPr>
            <w:r>
              <w:rPr>
                <w:sz w:val="17"/>
              </w:rPr>
              <w:t xml:space="preserve">MDM feasibility for Time Machine, File History, and application control (UC-13)</w:t>
            </w:r>
          </w:p>
        </w:tc>
        <w:tc>
          <w:tcPr>
            <w:tcW w:type="dxa" w:w="2144"/>
          </w:tcPr>
          <w:p>
            <w:pPr>
              <w:pStyle w:val="Compact"/>
              <w:spacing w:after="20" w:before="20"/>
              <w:jc w:val="left"/>
            </w:pPr>
            <w:r>
              <w:rPr>
                <w:sz w:val="17"/>
              </w:rPr>
              <w:t xml:space="preserve">UC-13</w:t>
            </w:r>
          </w:p>
        </w:tc>
        <w:tc>
          <w:tcPr>
            <w:tcW w:type="dxa" w:w="1770"/>
          </w:tcPr>
          <w:p>
            <w:pPr>
              <w:pStyle w:val="Compact"/>
              <w:spacing w:after="20" w:before="20"/>
              <w:jc w:val="left"/>
            </w:pPr>
            <w:r>
              <w:rPr>
                <w:sz w:val="17"/>
              </w:rPr>
              <w:t xml:space="preserve">Endpoint team</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O8</w:t>
            </w:r>
          </w:p>
        </w:tc>
        <w:tc>
          <w:tcPr>
            <w:tcW w:type="dxa" w:w="4375"/>
          </w:tcPr>
          <w:p>
            <w:pPr>
              <w:pStyle w:val="Compact"/>
              <w:spacing w:after="20" w:before="20"/>
              <w:jc w:val="left"/>
            </w:pPr>
            <w:r>
              <w:rPr>
                <w:sz w:val="17"/>
              </w:rPr>
              <w:t xml:space="preserve">Browsers in use; decision on Chrome/Firefox extension vs. unallowed</w:t>
            </w:r>
          </w:p>
        </w:tc>
        <w:tc>
          <w:tcPr>
            <w:tcW w:type="dxa" w:w="2144"/>
          </w:tcPr>
          <w:p>
            <w:pPr>
              <w:pStyle w:val="Compact"/>
              <w:spacing w:after="20" w:before="20"/>
              <w:jc w:val="left"/>
            </w:pPr>
            <w:r>
              <w:rPr>
                <w:sz w:val="17"/>
              </w:rPr>
              <w:t xml:space="preserve">4.6</w:t>
            </w:r>
          </w:p>
        </w:tc>
        <w:tc>
          <w:tcPr>
            <w:tcW w:type="dxa" w:w="1770"/>
          </w:tcPr>
          <w:p>
            <w:pPr>
              <w:pStyle w:val="Compact"/>
              <w:spacing w:after="20" w:before="20"/>
              <w:jc w:val="left"/>
            </w:pPr>
            <w:r>
              <w:rPr>
                <w:sz w:val="17"/>
              </w:rPr>
              <w:t xml:space="preserve">Endpoint team</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O9</w:t>
            </w:r>
          </w:p>
        </w:tc>
        <w:tc>
          <w:tcPr>
            <w:tcW w:type="dxa" w:w="4375"/>
          </w:tcPr>
          <w:p>
            <w:pPr>
              <w:pStyle w:val="Compact"/>
              <w:spacing w:after="20" w:before="20"/>
              <w:jc w:val="left"/>
            </w:pPr>
            <w:r>
              <w:rPr>
                <w:sz w:val="17"/>
              </w:rPr>
              <w:t xml:space="preserve">Sensitive information types for paste-to-browser and the optional unlabeled rule</w:t>
            </w:r>
          </w:p>
        </w:tc>
        <w:tc>
          <w:tcPr>
            <w:tcW w:type="dxa" w:w="2144"/>
          </w:tcPr>
          <w:p>
            <w:pPr>
              <w:pStyle w:val="Compact"/>
              <w:spacing w:after="20" w:before="20"/>
              <w:jc w:val="left"/>
            </w:pPr>
            <w:r>
              <w:rPr>
                <w:sz w:val="17"/>
              </w:rPr>
              <w:t xml:space="preserve">EDLP-04</w:t>
            </w:r>
          </w:p>
        </w:tc>
        <w:tc>
          <w:tcPr>
            <w:tcW w:type="dxa" w:w="1770"/>
          </w:tcPr>
          <w:p>
            <w:pPr>
              <w:pStyle w:val="Compact"/>
              <w:spacing w:after="20" w:before="20"/>
              <w:jc w:val="left"/>
            </w:pPr>
            <w:r>
              <w:rPr>
                <w:sz w:val="17"/>
              </w:rPr>
              <w:t xml:space="preserve">Information protection owner</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O10</w:t>
            </w:r>
          </w:p>
        </w:tc>
        <w:tc>
          <w:tcPr>
            <w:tcW w:type="dxa" w:w="4375"/>
          </w:tcPr>
          <w:p>
            <w:pPr>
              <w:pStyle w:val="Compact"/>
              <w:spacing w:after="20" w:before="20"/>
              <w:jc w:val="left"/>
            </w:pPr>
            <w:r>
              <w:rPr>
                <w:sz w:val="17"/>
              </w:rPr>
              <w:t xml:space="preserve">Override justification options, exception process, override reviewers</w:t>
            </w:r>
          </w:p>
        </w:tc>
        <w:tc>
          <w:tcPr>
            <w:tcW w:type="dxa" w:w="2144"/>
          </w:tcPr>
          <w:p>
            <w:pPr>
              <w:pStyle w:val="Compact"/>
              <w:spacing w:after="20" w:before="20"/>
              <w:jc w:val="left"/>
            </w:pPr>
            <w:r>
              <w:rPr>
                <w:sz w:val="17"/>
              </w:rPr>
              <w:t xml:space="preserve">EDLP-02</w:t>
            </w:r>
          </w:p>
        </w:tc>
        <w:tc>
          <w:tcPr>
            <w:tcW w:type="dxa" w:w="1770"/>
          </w:tcPr>
          <w:p>
            <w:pPr>
              <w:pStyle w:val="Compact"/>
              <w:spacing w:after="20" w:before="20"/>
              <w:jc w:val="left"/>
            </w:pPr>
            <w:r>
              <w:rPr>
                <w:sz w:val="17"/>
              </w:rPr>
              <w:t xml:space="preserve">Security + HR/legal</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O11</w:t>
            </w:r>
          </w:p>
        </w:tc>
        <w:tc>
          <w:tcPr>
            <w:tcW w:type="dxa" w:w="4375"/>
          </w:tcPr>
          <w:p>
            <w:pPr>
              <w:pStyle w:val="Compact"/>
              <w:spacing w:after="20" w:before="20"/>
              <w:jc w:val="left"/>
            </w:pPr>
            <w:r>
              <w:rPr>
                <w:sz w:val="17"/>
              </w:rPr>
              <w:t xml:space="preserve">Evidence collection storage choice, retention, privacy notice</w:t>
            </w:r>
          </w:p>
        </w:tc>
        <w:tc>
          <w:tcPr>
            <w:tcW w:type="dxa" w:w="2144"/>
          </w:tcPr>
          <w:p>
            <w:pPr>
              <w:pStyle w:val="Compact"/>
              <w:spacing w:after="20" w:before="20"/>
              <w:jc w:val="left"/>
            </w:pPr>
            <w:r>
              <w:rPr>
                <w:sz w:val="17"/>
              </w:rPr>
              <w:t xml:space="preserve">UC-12</w:t>
            </w:r>
          </w:p>
        </w:tc>
        <w:tc>
          <w:tcPr>
            <w:tcW w:type="dxa" w:w="1770"/>
          </w:tcPr>
          <w:p>
            <w:pPr>
              <w:pStyle w:val="Compact"/>
              <w:spacing w:after="20" w:before="20"/>
              <w:jc w:val="left"/>
            </w:pPr>
            <w:r>
              <w:rPr>
                <w:sz w:val="17"/>
              </w:rPr>
              <w:t xml:space="preserve">Legal</w:t>
            </w:r>
          </w:p>
        </w:tc>
        <w:tc>
          <w:tcPr>
            <w:tcW w:type="dxa" w:w="933"/>
          </w:tcPr>
          <w:p>
            <w:pPr>
              <w:pStyle w:val="Compact"/>
              <w:spacing w:after="20" w:before="20"/>
              <w:jc w:val="left"/>
            </w:pPr>
            <w:r>
              <w:rPr>
                <w:sz w:val="17"/>
              </w:rPr>
              <w:t xml:space="preserve">Phase 0</w:t>
            </w:r>
          </w:p>
        </w:tc>
      </w:tr>
      <w:tr>
        <w:tc>
          <w:tcPr>
            <w:tcW w:type="dxa" w:w="643"/>
          </w:tcPr>
          <w:p>
            <w:pPr>
              <w:pStyle w:val="Compact"/>
              <w:spacing w:after="20" w:before="20"/>
              <w:jc w:val="left"/>
            </w:pPr>
            <w:r>
              <w:rPr>
                <w:sz w:val="17"/>
              </w:rPr>
              <w:t xml:space="preserve">O12</w:t>
            </w:r>
          </w:p>
        </w:tc>
        <w:tc>
          <w:tcPr>
            <w:tcW w:type="dxa" w:w="4375"/>
          </w:tcPr>
          <w:p>
            <w:pPr>
              <w:pStyle w:val="Compact"/>
              <w:spacing w:after="20" w:before="20"/>
              <w:jc w:val="left"/>
            </w:pPr>
            <w:r>
              <w:rPr>
                <w:sz w:val="17"/>
              </w:rPr>
              <w:t xml:space="preserve">Pilot users and ring membership; Entra groups</w:t>
            </w:r>
          </w:p>
        </w:tc>
        <w:tc>
          <w:tcPr>
            <w:tcW w:type="dxa" w:w="2144"/>
          </w:tcPr>
          <w:p>
            <w:pPr>
              <w:pStyle w:val="Compact"/>
              <w:spacing w:after="20" w:before="20"/>
              <w:jc w:val="left"/>
            </w:pPr>
            <w:r>
              <w:rPr>
                <w:sz w:val="17"/>
              </w:rPr>
              <w:t xml:space="preserve">7.3</w:t>
            </w:r>
          </w:p>
        </w:tc>
        <w:tc>
          <w:tcPr>
            <w:tcW w:type="dxa" w:w="1770"/>
          </w:tcPr>
          <w:p>
            <w:pPr>
              <w:pStyle w:val="Compact"/>
              <w:spacing w:after="20" w:before="20"/>
              <w:jc w:val="left"/>
            </w:pPr>
            <w:r>
              <w:rPr>
                <w:sz w:val="17"/>
              </w:rPr>
              <w:t xml:space="preserve">Security</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O13</w:t>
            </w:r>
          </w:p>
        </w:tc>
        <w:tc>
          <w:tcPr>
            <w:tcW w:type="dxa" w:w="4375"/>
          </w:tcPr>
          <w:p>
            <w:pPr>
              <w:pStyle w:val="Compact"/>
              <w:spacing w:after="20" w:before="20"/>
              <w:jc w:val="left"/>
            </w:pPr>
            <w:r>
              <w:rPr>
                <w:sz w:val="17"/>
              </w:rPr>
              <w:t xml:space="preserve">Whether USB, print, RDP, Bluetooth restrictions are adopted now</w:t>
            </w:r>
          </w:p>
        </w:tc>
        <w:tc>
          <w:tcPr>
            <w:tcW w:type="dxa" w:w="2144"/>
          </w:tcPr>
          <w:p>
            <w:pPr>
              <w:pStyle w:val="Compact"/>
              <w:spacing w:after="20" w:before="20"/>
              <w:jc w:val="left"/>
            </w:pPr>
            <w:r>
              <w:rPr>
                <w:sz w:val="17"/>
              </w:rPr>
              <w:t xml:space="preserve">Section 6</w:t>
            </w:r>
          </w:p>
        </w:tc>
        <w:tc>
          <w:tcPr>
            <w:tcW w:type="dxa" w:w="1770"/>
          </w:tcPr>
          <w:p>
            <w:pPr>
              <w:pStyle w:val="Compact"/>
              <w:spacing w:after="20" w:before="20"/>
              <w:jc w:val="left"/>
            </w:pPr>
            <w:r>
              <w:rPr>
                <w:sz w:val="17"/>
              </w:rPr>
              <w:t xml:space="preserve">Security owner</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O14</w:t>
            </w:r>
          </w:p>
        </w:tc>
        <w:tc>
          <w:tcPr>
            <w:tcW w:type="dxa" w:w="4375"/>
          </w:tcPr>
          <w:p>
            <w:pPr>
              <w:pStyle w:val="Compact"/>
              <w:spacing w:after="20" w:before="20"/>
              <w:jc w:val="left"/>
            </w:pPr>
            <w:r>
              <w:rPr>
                <w:sz w:val="17"/>
              </w:rPr>
              <w:t xml:space="preserve">Host firewall and always-on VPN feasibility for 11.5</w:t>
            </w:r>
          </w:p>
        </w:tc>
        <w:tc>
          <w:tcPr>
            <w:tcW w:type="dxa" w:w="2144"/>
          </w:tcPr>
          <w:p>
            <w:pPr>
              <w:pStyle w:val="Compact"/>
              <w:spacing w:after="20" w:before="20"/>
              <w:jc w:val="left"/>
            </w:pPr>
            <w:r>
              <w:rPr>
                <w:sz w:val="17"/>
              </w:rPr>
              <w:t xml:space="preserve">L7, L9</w:t>
            </w:r>
          </w:p>
        </w:tc>
        <w:tc>
          <w:tcPr>
            <w:tcW w:type="dxa" w:w="1770"/>
          </w:tcPr>
          <w:p>
            <w:pPr>
              <w:pStyle w:val="Compact"/>
              <w:spacing w:after="20" w:before="20"/>
              <w:jc w:val="left"/>
            </w:pPr>
            <w:r>
              <w:rPr>
                <w:sz w:val="17"/>
              </w:rPr>
              <w:t xml:space="preserve">Endpoint + network team</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O15</w:t>
            </w:r>
          </w:p>
        </w:tc>
        <w:tc>
          <w:tcPr>
            <w:tcW w:type="dxa" w:w="4375"/>
          </w:tcPr>
          <w:p>
            <w:pPr>
              <w:pStyle w:val="Compact"/>
              <w:spacing w:after="20" w:before="20"/>
              <w:jc w:val="left"/>
            </w:pPr>
            <w:r>
              <w:rPr>
                <w:sz w:val="17"/>
              </w:rPr>
              <w:t xml:space="preserve">macOS fleet size and whether macOS-specific gaps (L4, L7) are acceptable</w:t>
            </w:r>
          </w:p>
        </w:tc>
        <w:tc>
          <w:tcPr>
            <w:tcW w:type="dxa" w:w="2144"/>
          </w:tcPr>
          <w:p>
            <w:pPr>
              <w:pStyle w:val="Compact"/>
              <w:spacing w:after="20" w:before="20"/>
              <w:jc w:val="left"/>
            </w:pPr>
            <w:r>
              <w:rPr>
                <w:sz w:val="17"/>
              </w:rPr>
              <w:t xml:space="preserve">Risk acceptance</w:t>
            </w:r>
          </w:p>
        </w:tc>
        <w:tc>
          <w:tcPr>
            <w:tcW w:type="dxa" w:w="1770"/>
          </w:tcPr>
          <w:p>
            <w:pPr>
              <w:pStyle w:val="Compact"/>
              <w:spacing w:after="20" w:before="20"/>
              <w:jc w:val="left"/>
            </w:pPr>
            <w:r>
              <w:rPr>
                <w:sz w:val="17"/>
              </w:rPr>
              <w:t xml:space="preserve">Security owner</w:t>
            </w:r>
          </w:p>
        </w:tc>
        <w:tc>
          <w:tcPr>
            <w:tcW w:type="dxa" w:w="933"/>
          </w:tcPr>
          <w:p>
            <w:pPr>
              <w:pStyle w:val="Compact"/>
              <w:spacing w:after="20" w:before="20"/>
              <w:jc w:val="left"/>
            </w:pPr>
            <w:r>
              <w:rPr>
                <w:sz w:val="17"/>
              </w:rPr>
              <w:t xml:space="preserve">Phase 1</w:t>
            </w:r>
          </w:p>
        </w:tc>
      </w:tr>
      <w:tr>
        <w:tc>
          <w:tcPr>
            <w:tcW w:type="dxa" w:w="643"/>
          </w:tcPr>
          <w:p>
            <w:pPr>
              <w:pStyle w:val="Compact"/>
              <w:spacing w:after="20" w:before="20"/>
              <w:jc w:val="left"/>
            </w:pPr>
            <w:r>
              <w:rPr>
                <w:sz w:val="17"/>
              </w:rPr>
              <w:t xml:space="preserve">O16</w:t>
            </w:r>
          </w:p>
        </w:tc>
        <w:tc>
          <w:tcPr>
            <w:tcW w:type="dxa" w:w="4375"/>
          </w:tcPr>
          <w:p>
            <w:pPr>
              <w:pStyle w:val="Compact"/>
              <w:spacing w:after="20" w:before="20"/>
              <w:jc w:val="left"/>
            </w:pPr>
            <w:r>
              <w:rPr>
                <w:sz w:val="17"/>
              </w:rPr>
              <w:t xml:space="preserve">Decision on RT-01: Conditional Access for compliant devices, unmanaged-device download block, external sharing limits for Tier 2 and Tier 3, and the Exchange and Teams DLP policy</w:t>
            </w:r>
          </w:p>
        </w:tc>
        <w:tc>
          <w:tcPr>
            <w:tcW w:type="dxa" w:w="2144"/>
          </w:tcPr>
          <w:p>
            <w:pPr>
              <w:pStyle w:val="Compact"/>
              <w:spacing w:after="20" w:before="20"/>
              <w:jc w:val="left"/>
            </w:pPr>
            <w:r>
              <w:rPr>
                <w:sz w:val="17"/>
              </w:rPr>
              <w:t xml:space="preserve">Phase 3 entry</w:t>
            </w:r>
          </w:p>
        </w:tc>
        <w:tc>
          <w:tcPr>
            <w:tcW w:type="dxa" w:w="1770"/>
          </w:tcPr>
          <w:p>
            <w:pPr>
              <w:pStyle w:val="Compact"/>
              <w:spacing w:after="20" w:before="20"/>
              <w:jc w:val="left"/>
            </w:pPr>
            <w:r>
              <w:rPr>
                <w:sz w:val="17"/>
              </w:rPr>
              <w:t xml:space="preserve">Security owner + M365 admin</w:t>
            </w:r>
          </w:p>
        </w:tc>
        <w:tc>
          <w:tcPr>
            <w:tcW w:type="dxa" w:w="933"/>
          </w:tcPr>
          <w:p>
            <w:pPr>
              <w:pStyle w:val="Compact"/>
              <w:spacing w:after="20" w:before="20"/>
              <w:jc w:val="left"/>
            </w:pPr>
            <w:r>
              <w:rPr>
                <w:sz w:val="17"/>
              </w:rPr>
              <w:t xml:space="preserve">Before Phase 3</w:t>
            </w:r>
          </w:p>
        </w:tc>
      </w:tr>
      <w:tr>
        <w:tc>
          <w:tcPr>
            <w:tcW w:type="dxa" w:w="643"/>
          </w:tcPr>
          <w:p>
            <w:pPr>
              <w:pStyle w:val="Compact"/>
              <w:spacing w:after="20" w:before="20"/>
              <w:jc w:val="left"/>
            </w:pPr>
            <w:r>
              <w:rPr>
                <w:sz w:val="17"/>
              </w:rPr>
              <w:t xml:space="preserve">O17</w:t>
            </w:r>
          </w:p>
        </w:tc>
        <w:tc>
          <w:tcPr>
            <w:tcW w:type="dxa" w:w="4375"/>
          </w:tcPr>
          <w:p>
            <w:pPr>
              <w:pStyle w:val="Compact"/>
              <w:spacing w:after="20" w:before="20"/>
              <w:jc w:val="left"/>
            </w:pPr>
            <w:r>
              <w:rPr>
                <w:sz w:val="17"/>
              </w:rPr>
              <w:t xml:space="preserve">Decision on RT-02: tenant-specific SharePoint hostnames, tenant restrictions v2, OneDrive AllowTenantList and DisablePersonalSync; apoBank tenant ID</w:t>
            </w:r>
          </w:p>
        </w:tc>
        <w:tc>
          <w:tcPr>
            <w:tcW w:type="dxa" w:w="2144"/>
          </w:tcPr>
          <w:p>
            <w:pPr>
              <w:pStyle w:val="Compact"/>
              <w:spacing w:after="20" w:before="20"/>
              <w:jc w:val="left"/>
            </w:pPr>
            <w:r>
              <w:rPr>
                <w:sz w:val="17"/>
              </w:rPr>
              <w:t xml:space="preserve">4.2, UC-06</w:t>
            </w:r>
          </w:p>
        </w:tc>
        <w:tc>
          <w:tcPr>
            <w:tcW w:type="dxa" w:w="1770"/>
          </w:tcPr>
          <w:p>
            <w:pPr>
              <w:pStyle w:val="Compact"/>
              <w:spacing w:after="20" w:before="20"/>
              <w:jc w:val="left"/>
            </w:pPr>
            <w:r>
              <w:rPr>
                <w:sz w:val="17"/>
              </w:rPr>
              <w:t xml:space="preserve">M365 admin + Entra admin</w:t>
            </w:r>
          </w:p>
        </w:tc>
        <w:tc>
          <w:tcPr>
            <w:tcW w:type="dxa" w:w="933"/>
          </w:tcPr>
          <w:p>
            <w:pPr>
              <w:pStyle w:val="Compact"/>
              <w:spacing w:after="20" w:before="20"/>
              <w:jc w:val="left"/>
            </w:pPr>
            <w:r>
              <w:rPr>
                <w:sz w:val="17"/>
              </w:rPr>
              <w:t xml:space="preserve">Before Phase 3</w:t>
            </w:r>
          </w:p>
        </w:tc>
      </w:tr>
      <w:tr>
        <w:tc>
          <w:tcPr>
            <w:tcW w:type="dxa" w:w="643"/>
          </w:tcPr>
          <w:p>
            <w:pPr>
              <w:pStyle w:val="Compact"/>
              <w:spacing w:after="20" w:before="20"/>
              <w:jc w:val="left"/>
            </w:pPr>
            <w:r>
              <w:rPr>
                <w:sz w:val="17"/>
              </w:rPr>
              <w:t xml:space="preserve">O18</w:t>
            </w:r>
          </w:p>
        </w:tc>
        <w:tc>
          <w:tcPr>
            <w:tcW w:type="dxa" w:w="4375"/>
          </w:tcPr>
          <w:p>
            <w:pPr>
              <w:pStyle w:val="Compact"/>
              <w:spacing w:after="20" w:before="20"/>
              <w:jc w:val="left"/>
            </w:pPr>
            <w:r>
              <w:rPr>
                <w:sz w:val="17"/>
              </w:rPr>
              <w:t xml:space="preserve">Decision on RT-04, RT-05, RT-06: label downgrade justification and alerting; encryption with usage rights for Tier 3; Conditional Access on the Rights Management service</w:t>
            </w:r>
          </w:p>
        </w:tc>
        <w:tc>
          <w:tcPr>
            <w:tcW w:type="dxa" w:w="2144"/>
          </w:tcPr>
          <w:p>
            <w:pPr>
              <w:pStyle w:val="Compact"/>
              <w:spacing w:after="20" w:before="20"/>
              <w:jc w:val="left"/>
            </w:pPr>
            <w:r>
              <w:rPr>
                <w:sz w:val="17"/>
              </w:rPr>
              <w:t xml:space="preserve">4.1, EDLP-01</w:t>
            </w:r>
          </w:p>
        </w:tc>
        <w:tc>
          <w:tcPr>
            <w:tcW w:type="dxa" w:w="1770"/>
          </w:tcPr>
          <w:p>
            <w:pPr>
              <w:pStyle w:val="Compact"/>
              <w:spacing w:after="20" w:before="20"/>
              <w:jc w:val="left"/>
            </w:pPr>
            <w:r>
              <w:rPr>
                <w:sz w:val="17"/>
              </w:rPr>
              <w:t xml:space="preserve">Information protection owner</w:t>
            </w:r>
          </w:p>
        </w:tc>
        <w:tc>
          <w:tcPr>
            <w:tcW w:type="dxa" w:w="933"/>
          </w:tcPr>
          <w:p>
            <w:pPr>
              <w:pStyle w:val="Compact"/>
              <w:spacing w:after="20" w:before="20"/>
              <w:jc w:val="left"/>
            </w:pPr>
            <w:r>
              <w:rPr>
                <w:sz w:val="17"/>
              </w:rPr>
              <w:t xml:space="preserve">Before Phase 3</w:t>
            </w:r>
          </w:p>
        </w:tc>
      </w:tr>
      <w:tr>
        <w:tc>
          <w:tcPr>
            <w:tcW w:type="dxa" w:w="643"/>
          </w:tcPr>
          <w:p>
            <w:pPr>
              <w:pStyle w:val="Compact"/>
              <w:spacing w:after="20" w:before="20"/>
              <w:jc w:val="left"/>
            </w:pPr>
            <w:r>
              <w:rPr>
                <w:sz w:val="17"/>
              </w:rPr>
              <w:t xml:space="preserve">O19</w:t>
            </w:r>
          </w:p>
        </w:tc>
        <w:tc>
          <w:tcPr>
            <w:tcW w:type="dxa" w:w="4375"/>
          </w:tcPr>
          <w:p>
            <w:pPr>
              <w:pStyle w:val="Compact"/>
              <w:spacing w:after="20" w:before="20"/>
              <w:jc w:val="left"/>
            </w:pPr>
            <w:r>
              <w:rPr>
                <w:sz w:val="17"/>
              </w:rPr>
              <w:t xml:space="preserve">Decision on RT-03 and RT-11: application control baseline; confirm whether users have local administrator rights</w:t>
            </w:r>
          </w:p>
        </w:tc>
        <w:tc>
          <w:tcPr>
            <w:tcW w:type="dxa" w:w="2144"/>
          </w:tcPr>
          <w:p>
            <w:pPr>
              <w:pStyle w:val="Compact"/>
              <w:spacing w:after="20" w:before="20"/>
              <w:jc w:val="left"/>
            </w:pPr>
            <w:r>
              <w:rPr>
                <w:sz w:val="17"/>
              </w:rPr>
              <w:t xml:space="preserve">UC-03 to UC-06</w:t>
            </w:r>
          </w:p>
        </w:tc>
        <w:tc>
          <w:tcPr>
            <w:tcW w:type="dxa" w:w="1770"/>
          </w:tcPr>
          <w:p>
            <w:pPr>
              <w:pStyle w:val="Compact"/>
              <w:spacing w:after="20" w:before="20"/>
              <w:jc w:val="left"/>
            </w:pPr>
            <w:r>
              <w:rPr>
                <w:sz w:val="17"/>
              </w:rPr>
              <w:t xml:space="preserve">Endpoint team</w:t>
            </w:r>
          </w:p>
        </w:tc>
        <w:tc>
          <w:tcPr>
            <w:tcW w:type="dxa" w:w="933"/>
          </w:tcPr>
          <w:p>
            <w:pPr>
              <w:pStyle w:val="Compact"/>
              <w:spacing w:after="20" w:before="20"/>
              <w:jc w:val="left"/>
            </w:pPr>
            <w:r>
              <w:rPr>
                <w:sz w:val="17"/>
              </w:rPr>
              <w:t xml:space="preserve">Before Phase 5</w:t>
            </w:r>
          </w:p>
        </w:tc>
      </w:tr>
      <w:tr>
        <w:tc>
          <w:tcPr>
            <w:tcW w:type="dxa" w:w="643"/>
          </w:tcPr>
          <w:p>
            <w:pPr>
              <w:pStyle w:val="Compact"/>
              <w:spacing w:after="20" w:before="20"/>
              <w:jc w:val="left"/>
            </w:pPr>
            <w:r>
              <w:rPr>
                <w:sz w:val="17"/>
              </w:rPr>
              <w:t xml:space="preserve">O20</w:t>
            </w:r>
          </w:p>
        </w:tc>
        <w:tc>
          <w:tcPr>
            <w:tcW w:type="dxa" w:w="4375"/>
          </w:tcPr>
          <w:p>
            <w:pPr>
              <w:pStyle w:val="Compact"/>
              <w:spacing w:after="20" w:before="20"/>
              <w:jc w:val="left"/>
            </w:pPr>
            <w:r>
              <w:rPr>
                <w:sz w:val="17"/>
              </w:rPr>
              <w:t xml:space="preserve">Decision on RT-09 and RT-10: Block without override for unscannable files and for Tier 2 to shares, relay services, and FTP/SFTP</w:t>
            </w:r>
          </w:p>
        </w:tc>
        <w:tc>
          <w:tcPr>
            <w:tcW w:type="dxa" w:w="2144"/>
          </w:tcPr>
          <w:p>
            <w:pPr>
              <w:pStyle w:val="Compact"/>
              <w:spacing w:after="20" w:before="20"/>
              <w:jc w:val="left"/>
            </w:pPr>
            <w:r>
              <w:rPr>
                <w:sz w:val="17"/>
              </w:rPr>
              <w:t xml:space="preserve">EDLP-02, EDLP-03</w:t>
            </w:r>
          </w:p>
        </w:tc>
        <w:tc>
          <w:tcPr>
            <w:tcW w:type="dxa" w:w="1770"/>
          </w:tcPr>
          <w:p>
            <w:pPr>
              <w:pStyle w:val="Compact"/>
              <w:spacing w:after="20" w:before="20"/>
              <w:jc w:val="left"/>
            </w:pPr>
            <w:r>
              <w:rPr>
                <w:sz w:val="17"/>
              </w:rPr>
              <w:t xml:space="preserve">Security owner</w:t>
            </w:r>
          </w:p>
        </w:tc>
        <w:tc>
          <w:tcPr>
            <w:tcW w:type="dxa" w:w="933"/>
          </w:tcPr>
          <w:p>
            <w:pPr>
              <w:pStyle w:val="Compact"/>
              <w:spacing w:after="20" w:before="20"/>
              <w:jc w:val="left"/>
            </w:pPr>
            <w:r>
              <w:rPr>
                <w:sz w:val="17"/>
              </w:rPr>
              <w:t xml:space="preserve">Before Phase 5</w:t>
            </w:r>
          </w:p>
        </w:tc>
      </w:tr>
      <w:tr>
        <w:tc>
          <w:tcPr>
            <w:tcW w:type="dxa" w:w="643"/>
          </w:tcPr>
          <w:p>
            <w:pPr>
              <w:pStyle w:val="Compact"/>
              <w:spacing w:after="20" w:before="20"/>
              <w:jc w:val="left"/>
            </w:pPr>
            <w:r>
              <w:rPr>
                <w:sz w:val="17"/>
              </w:rPr>
              <w:t xml:space="preserve">O21</w:t>
            </w:r>
          </w:p>
        </w:tc>
        <w:tc>
          <w:tcPr>
            <w:tcW w:type="dxa" w:w="4375"/>
          </w:tcPr>
          <w:p>
            <w:pPr>
              <w:pStyle w:val="Compact"/>
              <w:spacing w:after="20" w:before="20"/>
              <w:jc w:val="left"/>
            </w:pPr>
            <w:r>
              <w:rPr>
                <w:sz w:val="17"/>
              </w:rPr>
              <w:t xml:space="preserve">Decision on RT-12 and RT-14: failure-mode table and fail-closed defaults; volume alerts; Insider Risk Management from Phase 4</w:t>
            </w:r>
          </w:p>
        </w:tc>
        <w:tc>
          <w:tcPr>
            <w:tcW w:type="dxa" w:w="2144"/>
          </w:tcPr>
          <w:p>
            <w:pPr>
              <w:pStyle w:val="Compact"/>
              <w:spacing w:after="20" w:before="20"/>
              <w:jc w:val="left"/>
            </w:pPr>
            <w:r>
              <w:rPr>
                <w:sz w:val="17"/>
              </w:rPr>
              <w:t xml:space="preserve">7.1, 7.3, 11.6</w:t>
            </w:r>
          </w:p>
        </w:tc>
        <w:tc>
          <w:tcPr>
            <w:tcW w:type="dxa" w:w="1770"/>
          </w:tcPr>
          <w:p>
            <w:pPr>
              <w:pStyle w:val="Compact"/>
              <w:spacing w:after="20" w:before="20"/>
              <w:jc w:val="left"/>
            </w:pPr>
            <w:r>
              <w:rPr>
                <w:sz w:val="17"/>
              </w:rPr>
              <w:t xml:space="preserve">Security owner + works council</w:t>
            </w:r>
          </w:p>
        </w:tc>
        <w:tc>
          <w:tcPr>
            <w:tcW w:type="dxa" w:w="933"/>
          </w:tcPr>
          <w:p>
            <w:pPr>
              <w:pStyle w:val="Compact"/>
              <w:spacing w:after="20" w:before="20"/>
              <w:jc w:val="left"/>
            </w:pPr>
            <w:r>
              <w:rPr>
                <w:sz w:val="17"/>
              </w:rPr>
              <w:t xml:space="preserve">Before Phase 4</w:t>
            </w:r>
          </w:p>
        </w:tc>
      </w:tr>
    </w:tbl>
    <w:p>
      <w:r>
        <w:pict>
          <v:rect style="width:0;height:1.5pt" o:hralign="center" o:hrstd="t" o:hr="t"/>
        </w:pict>
      </w:r>
    </w:p>
    <w:bookmarkEnd w:id="70"/>
    <w:bookmarkStart w:id="94" w:name="X81459fa0ea39f6ceef23940edda68b074aedd26"/>
    <w:p>
      <w:pPr>
        <w:pStyle w:val="Heading2"/>
      </w:pPr>
      <w:r>
        <w:t xml:space="preserve">13. References (Microsoft Learn, accessed 2026-10-23)</w:t>
      </w:r>
    </w:p>
    <w:p>
      <w:pPr>
        <w:numPr>
          <w:ilvl w:val="0"/>
          <w:numId w:val="1022"/>
        </w:numPr>
        <w:pStyle w:val="Compact"/>
      </w:pPr>
      <w:r>
        <w:t xml:space="preserve">Learn about Endpoint data loss prevention:</w:t>
      </w:r>
      <w:r>
        <w:t xml:space="preserve"> </w:t>
      </w:r>
      <w:hyperlink r:id="rId71">
        <w:r>
          <w:rPr>
            <w:rStyle w:val="Hyperlink"/>
          </w:rPr>
          <w:t xml:space="preserve">https://learn.microsoft.com/purview/endpoint-dlp-learn-about</w:t>
        </w:r>
      </w:hyperlink>
    </w:p>
    <w:p>
      <w:pPr>
        <w:numPr>
          <w:ilvl w:val="0"/>
          <w:numId w:val="1022"/>
        </w:numPr>
        <w:pStyle w:val="Compact"/>
      </w:pPr>
      <w:r>
        <w:t xml:space="preserve">Configure endpoint data loss prevention settings (service domains, sensitive service domain groups, network share groups, restricted apps, auto-quarantine, unallowed browsers, VPN, network share coverage):</w:t>
      </w:r>
      <w:r>
        <w:t xml:space="preserve"> </w:t>
      </w:r>
      <w:hyperlink r:id="rId72">
        <w:r>
          <w:rPr>
            <w:rStyle w:val="Hyperlink"/>
          </w:rPr>
          <w:t xml:space="preserve">https://learn.microsoft.com/purview/dlp-configure-endpoint-settings</w:t>
        </w:r>
      </w:hyperlink>
    </w:p>
    <w:p>
      <w:pPr>
        <w:numPr>
          <w:ilvl w:val="0"/>
          <w:numId w:val="1022"/>
        </w:numPr>
        <w:pStyle w:val="Compact"/>
      </w:pPr>
      <w:r>
        <w:t xml:space="preserve">Data Loss Prevention policy reference (device actions, paste-to-browser limitations):</w:t>
      </w:r>
      <w:r>
        <w:t xml:space="preserve"> </w:t>
      </w:r>
      <w:hyperlink r:id="rId73">
        <w:r>
          <w:rPr>
            <w:rStyle w:val="Hyperlink"/>
          </w:rPr>
          <w:t xml:space="preserve">https://learn.microsoft.com/purview/dlp-policy-reference</w:t>
        </w:r>
      </w:hyperlink>
    </w:p>
    <w:p>
      <w:pPr>
        <w:numPr>
          <w:ilvl w:val="0"/>
          <w:numId w:val="1022"/>
        </w:numPr>
        <w:pStyle w:val="Compact"/>
      </w:pPr>
      <w:r>
        <w:t xml:space="preserve">Help prevent sharing of sensitive items with unauthorized cloud apps and services:</w:t>
      </w:r>
      <w:r>
        <w:t xml:space="preserve"> </w:t>
      </w:r>
      <w:hyperlink r:id="rId74">
        <w:r>
          <w:rPr>
            <w:rStyle w:val="Hyperlink"/>
          </w:rPr>
          <w:t xml:space="preserve">https://learn.microsoft.com/purview/endpoint-dlp-create-policy-unauthorized-cloud-apps-services</w:t>
        </w:r>
      </w:hyperlink>
    </w:p>
    <w:p>
      <w:pPr>
        <w:numPr>
          <w:ilvl w:val="0"/>
          <w:numId w:val="1022"/>
        </w:numPr>
        <w:pStyle w:val="Compact"/>
      </w:pPr>
      <w:r>
        <w:t xml:space="preserve">Help prevent risky user activity by monitoring or restricting access to sensitive service domains:</w:t>
      </w:r>
      <w:r>
        <w:t xml:space="preserve"> </w:t>
      </w:r>
      <w:hyperlink r:id="rId75">
        <w:r>
          <w:rPr>
            <w:rStyle w:val="Hyperlink"/>
          </w:rPr>
          <w:t xml:space="preserve">https://learn.microsoft.com/purview/endpoint-dlp-create-policy-restrict-access-to-domains</w:t>
        </w:r>
      </w:hyperlink>
    </w:p>
    <w:p>
      <w:pPr>
        <w:numPr>
          <w:ilvl w:val="0"/>
          <w:numId w:val="1022"/>
        </w:numPr>
        <w:pStyle w:val="Compact"/>
      </w:pPr>
      <w:r>
        <w:t xml:space="preserve">Help prevent leakage of sensitive content by restricting paste actions into browsers:</w:t>
      </w:r>
      <w:r>
        <w:t xml:space="preserve"> </w:t>
      </w:r>
      <w:hyperlink r:id="rId76">
        <w:r>
          <w:rPr>
            <w:rStyle w:val="Hyperlink"/>
          </w:rPr>
          <w:t xml:space="preserve">https://learn.microsoft.com/purview/endpoint-dlp-create-policy-restrict-paste-in-browsers</w:t>
        </w:r>
      </w:hyperlink>
    </w:p>
    <w:p>
      <w:pPr>
        <w:numPr>
          <w:ilvl w:val="0"/>
          <w:numId w:val="1022"/>
        </w:numPr>
        <w:pStyle w:val="Compact"/>
      </w:pPr>
      <w:r>
        <w:t xml:space="preserve">Help prevent exposure of sensitive files by configuring auto-quarantine for OneDrive sync:</w:t>
      </w:r>
      <w:r>
        <w:t xml:space="preserve"> </w:t>
      </w:r>
      <w:hyperlink r:id="rId77">
        <w:r>
          <w:rPr>
            <w:rStyle w:val="Hyperlink"/>
          </w:rPr>
          <w:t xml:space="preserve">https://learn.microsoft.com/purview/endpoint-dlp-create-policy-auto-quarantine-for-onedrive</w:t>
        </w:r>
      </w:hyperlink>
    </w:p>
    <w:p>
      <w:pPr>
        <w:numPr>
          <w:ilvl w:val="0"/>
          <w:numId w:val="1022"/>
        </w:numPr>
        <w:pStyle w:val="Compact"/>
      </w:pPr>
      <w:r>
        <w:t xml:space="preserve">Help protect files that Endpoint DLP doesn't scan:</w:t>
      </w:r>
      <w:r>
        <w:t xml:space="preserve"> </w:t>
      </w:r>
      <w:hyperlink r:id="rId78">
        <w:r>
          <w:rPr>
            <w:rStyle w:val="Hyperlink"/>
          </w:rPr>
          <w:t xml:space="preserve">https://learn.microsoft.com/purview/dlp-create-policy-files-edlp-doesnt-scan</w:t>
        </w:r>
      </w:hyperlink>
    </w:p>
    <w:p>
      <w:pPr>
        <w:numPr>
          <w:ilvl w:val="0"/>
          <w:numId w:val="1022"/>
        </w:numPr>
        <w:pStyle w:val="Compact"/>
      </w:pPr>
      <w:r>
        <w:t xml:space="preserve">Protect FTP and SFTP transfers with Endpoint DLP:</w:t>
      </w:r>
      <w:r>
        <w:t xml:space="preserve"> </w:t>
      </w:r>
      <w:hyperlink r:id="rId79">
        <w:r>
          <w:rPr>
            <w:rStyle w:val="Hyperlink"/>
          </w:rPr>
          <w:t xml:space="preserve">https://learn.microsoft.com/purview/endpoint-dlp-ftp-sftp-short</w:t>
        </w:r>
      </w:hyperlink>
    </w:p>
    <w:p>
      <w:pPr>
        <w:numPr>
          <w:ilvl w:val="0"/>
          <w:numId w:val="1022"/>
        </w:numPr>
        <w:pStyle w:val="Compact"/>
      </w:pPr>
      <w:r>
        <w:t xml:space="preserve">Just-in-time protection:</w:t>
      </w:r>
      <w:r>
        <w:t xml:space="preserve"> </w:t>
      </w:r>
      <w:hyperlink r:id="rId80">
        <w:r>
          <w:rPr>
            <w:rStyle w:val="Hyperlink"/>
          </w:rPr>
          <w:t xml:space="preserve">https://learn.microsoft.com/purview/endpoint-dlp-learn-about-jit</w:t>
        </w:r>
      </w:hyperlink>
      <w:r>
        <w:t xml:space="preserve"> </w:t>
      </w:r>
      <w:r>
        <w:t xml:space="preserve">and</w:t>
      </w:r>
      <w:r>
        <w:t xml:space="preserve"> </w:t>
      </w:r>
      <w:hyperlink r:id="rId81">
        <w:r>
          <w:rPr>
            <w:rStyle w:val="Hyperlink"/>
          </w:rPr>
          <w:t xml:space="preserve">https://learn.microsoft.com/purview/endpoint-dlp-get-started-jit</w:t>
        </w:r>
      </w:hyperlink>
    </w:p>
    <w:p>
      <w:pPr>
        <w:numPr>
          <w:ilvl w:val="0"/>
          <w:numId w:val="1022"/>
        </w:numPr>
        <w:pStyle w:val="Compact"/>
      </w:pPr>
      <w:r>
        <w:t xml:space="preserve">Network exceptions (VPN settings):</w:t>
      </w:r>
      <w:r>
        <w:t xml:space="preserve"> </w:t>
      </w:r>
      <w:hyperlink r:id="rId82">
        <w:r>
          <w:rPr>
            <w:rStyle w:val="Hyperlink"/>
          </w:rPr>
          <w:t xml:space="preserve">https://learn.microsoft.com/purview/endpoint-dlp-create-policy-file-activities-using-network-exceptions</w:t>
        </w:r>
      </w:hyperlink>
    </w:p>
    <w:p>
      <w:pPr>
        <w:numPr>
          <w:ilvl w:val="0"/>
          <w:numId w:val="1022"/>
        </w:numPr>
        <w:pStyle w:val="Compact"/>
      </w:pPr>
      <w:r>
        <w:t xml:space="preserve">DLP simulation mode:</w:t>
      </w:r>
      <w:r>
        <w:t xml:space="preserve"> </w:t>
      </w:r>
      <w:hyperlink r:id="rId83">
        <w:r>
          <w:rPr>
            <w:rStyle w:val="Hyperlink"/>
          </w:rPr>
          <w:t xml:space="preserve">https://learn.microsoft.com/purview/dlp-simulation-mode-learn</w:t>
        </w:r>
      </w:hyperlink>
    </w:p>
    <w:p>
      <w:pPr>
        <w:numPr>
          <w:ilvl w:val="0"/>
          <w:numId w:val="1022"/>
        </w:numPr>
        <w:pStyle w:val="Compact"/>
      </w:pPr>
      <w:r>
        <w:t xml:space="preserve">Create and deploy DLP policies:</w:t>
      </w:r>
      <w:r>
        <w:t xml:space="preserve"> </w:t>
      </w:r>
      <w:hyperlink r:id="rId84">
        <w:r>
          <w:rPr>
            <w:rStyle w:val="Hyperlink"/>
          </w:rPr>
          <w:t xml:space="preserve">https://learn.microsoft.com/purview/dlp-create-deploy-policy</w:t>
        </w:r>
      </w:hyperlink>
    </w:p>
    <w:p>
      <w:pPr>
        <w:numPr>
          <w:ilvl w:val="0"/>
          <w:numId w:val="1022"/>
        </w:numPr>
        <w:pStyle w:val="Compact"/>
      </w:pPr>
      <w:r>
        <w:t xml:space="preserve">Evidence collection for file activities on devices:</w:t>
      </w:r>
      <w:r>
        <w:t xml:space="preserve"> </w:t>
      </w:r>
      <w:hyperlink r:id="rId85">
        <w:r>
          <w:rPr>
            <w:rStyle w:val="Hyperlink"/>
          </w:rPr>
          <w:t xml:space="preserve">https://learn.microsoft.com/purview/dlp-copy-matched-items-get-started</w:t>
        </w:r>
      </w:hyperlink>
    </w:p>
    <w:p>
      <w:pPr>
        <w:numPr>
          <w:ilvl w:val="0"/>
          <w:numId w:val="1022"/>
        </w:numPr>
        <w:pStyle w:val="Compact"/>
      </w:pPr>
      <w:r>
        <w:t xml:space="preserve">Onboard macOS devices into Microsoft Purview:</w:t>
      </w:r>
      <w:r>
        <w:t xml:space="preserve"> </w:t>
      </w:r>
      <w:hyperlink r:id="rId86">
        <w:r>
          <w:rPr>
            <w:rStyle w:val="Hyperlink"/>
          </w:rPr>
          <w:t xml:space="preserve">https://learn.microsoft.com/purview/device-onboarding-macos-overview</w:t>
        </w:r>
      </w:hyperlink>
    </w:p>
    <w:p>
      <w:pPr>
        <w:numPr>
          <w:ilvl w:val="0"/>
          <w:numId w:val="1022"/>
        </w:numPr>
        <w:pStyle w:val="Compact"/>
      </w:pPr>
      <w:r>
        <w:t xml:space="preserve">Endpoint DLP changes in macOS 27:</w:t>
      </w:r>
      <w:r>
        <w:t xml:space="preserve"> </w:t>
      </w:r>
      <w:hyperlink r:id="rId87">
        <w:r>
          <w:rPr>
            <w:rStyle w:val="Hyperlink"/>
          </w:rPr>
          <w:t xml:space="preserve">https://learn.microsoft.com/purview/endpoint-dlp-macos-27-changes</w:t>
        </w:r>
      </w:hyperlink>
    </w:p>
    <w:p>
      <w:pPr>
        <w:numPr>
          <w:ilvl w:val="0"/>
          <w:numId w:val="1022"/>
        </w:numPr>
        <w:pStyle w:val="Compact"/>
      </w:pPr>
      <w:r>
        <w:t xml:space="preserve">Defender for Cloud Apps, govern discovered apps using Defender for Endpoint:</w:t>
      </w:r>
      <w:r>
        <w:t xml:space="preserve"> </w:t>
      </w:r>
      <w:hyperlink r:id="rId88">
        <w:r>
          <w:rPr>
            <w:rStyle w:val="Hyperlink"/>
          </w:rPr>
          <w:t xml:space="preserve">https://learn.microsoft.com/defender-cloud-apps/mde-govern</w:t>
        </w:r>
      </w:hyperlink>
      <w:r>
        <w:t xml:space="preserve"> </w:t>
      </w:r>
      <w:r>
        <w:t xml:space="preserve">and</w:t>
      </w:r>
      <w:r>
        <w:t xml:space="preserve"> </w:t>
      </w:r>
      <w:hyperlink r:id="rId89">
        <w:r>
          <w:rPr>
            <w:rStyle w:val="Hyperlink"/>
          </w:rPr>
          <w:t xml:space="preserve">https://learn.microsoft.com/defender-cloud-apps/governance-discovery</w:t>
        </w:r>
      </w:hyperlink>
    </w:p>
    <w:p>
      <w:pPr>
        <w:numPr>
          <w:ilvl w:val="0"/>
          <w:numId w:val="1022"/>
        </w:numPr>
        <w:pStyle w:val="Compact"/>
      </w:pPr>
      <w:r>
        <w:t xml:space="preserve">Defender for Cloud Apps session policies:</w:t>
      </w:r>
      <w:r>
        <w:t xml:space="preserve"> </w:t>
      </w:r>
      <w:hyperlink r:id="rId90">
        <w:r>
          <w:rPr>
            <w:rStyle w:val="Hyperlink"/>
          </w:rPr>
          <w:t xml:space="preserve">https://learn.microsoft.com/defender-cloud-apps/session-policy-aad</w:t>
        </w:r>
      </w:hyperlink>
    </w:p>
    <w:p>
      <w:pPr>
        <w:numPr>
          <w:ilvl w:val="0"/>
          <w:numId w:val="1022"/>
        </w:numPr>
        <w:pStyle w:val="Compact"/>
      </w:pPr>
      <w:r>
        <w:t xml:space="preserve">Edge for Business Protected Clipboard:</w:t>
      </w:r>
      <w:r>
        <w:t xml:space="preserve"> </w:t>
      </w:r>
      <w:hyperlink r:id="rId91">
        <w:r>
          <w:rPr>
            <w:rStyle w:val="Hyperlink"/>
          </w:rPr>
          <w:t xml:space="preserve">https://learn.microsoft.com/deployedge/microsoft-edge-management-protected-clipboard</w:t>
        </w:r>
      </w:hyperlink>
    </w:p>
    <w:p>
      <w:pPr>
        <w:numPr>
          <w:ilvl w:val="0"/>
          <w:numId w:val="1022"/>
        </w:numPr>
        <w:pStyle w:val="Compact"/>
      </w:pPr>
      <w:r>
        <w:t xml:space="preserve">Purview Network Data Security:</w:t>
      </w:r>
      <w:r>
        <w:t xml:space="preserve"> </w:t>
      </w:r>
      <w:hyperlink r:id="rId92">
        <w:r>
          <w:rPr>
            <w:rStyle w:val="Hyperlink"/>
          </w:rPr>
          <w:t xml:space="preserve">https://learn.microsoft.com/purview/dlp-network-data-security-learn</w:t>
        </w:r>
      </w:hyperlink>
    </w:p>
    <w:p>
      <w:pPr>
        <w:numPr>
          <w:ilvl w:val="0"/>
          <w:numId w:val="1022"/>
        </w:numPr>
        <w:pStyle w:val="Compact"/>
      </w:pPr>
      <w:r>
        <w:t xml:space="preserve">Diagnose Paste to supported browsers issues (licensing and prerequisites):</w:t>
      </w:r>
      <w:r>
        <w:t xml:space="preserve"> </w:t>
      </w:r>
      <w:hyperlink r:id="rId93">
        <w:r>
          <w:rPr>
            <w:rStyle w:val="Hyperlink"/>
          </w:rPr>
          <w:t xml:space="preserve">https://learn.microsoft.com/troubleshoot/microsoft-365/purview/data-loss-prevention/diagnose-paste-to-supported-browser-issues</w:t>
        </w:r>
      </w:hyperlink>
    </w:p>
    <w:p>
      <w:r>
        <w:pict>
          <v:rect style="width:0;height:1.5pt" o:hralign="center" o:hrstd="t" o:hr="t"/>
        </w:pict>
      </w:r>
    </w:p>
    <w:bookmarkEnd w:id="94"/>
    <w:bookmarkStart w:id="125" w:name="X44a1b40a267d98c9dff2c904b07d95be5599da9"/>
    <w:p>
      <w:pPr>
        <w:pStyle w:val="Heading2"/>
      </w:pPr>
      <w:r>
        <w:t xml:space="preserve">Annex A. Adversarial review (red team, 2026-10-23)</w:t>
      </w:r>
    </w:p>
    <w:bookmarkStart w:id="95" w:name="a1-scope-method-and-threat-model"/>
    <w:p>
      <w:pPr>
        <w:pStyle w:val="Heading3"/>
      </w:pPr>
      <w:r>
        <w:t xml:space="preserve">A.1 Scope, method, and threat model</w:t>
      </w:r>
    </w:p>
    <w:p>
      <w:pPr>
        <w:pStyle w:val="FirstParagraph"/>
      </w:pPr>
      <w:r>
        <w:t xml:space="preserve">This annex records a red-team review of version 0.2 of this document. The review read the document cold, attacked each use case, and checked the claims against Microsoft Learn on 2026-10-23. Factual errors were corrected in place in version 0.3 and are marked "Corrected in v0.3". Design changes were not made. They are listed below as recommendations with an open decision in section 12.</w:t>
      </w:r>
    </w:p>
    <w:p>
      <w:pPr>
        <w:pStyle w:val="BodyText"/>
      </w:pPr>
      <w:r>
        <w:t xml:space="preserve">The adversary assumed is an employee working from home on a managed bank device. The employee has a standard user account without local administrator rights. They have full control of the home network, including the router, name resolution, and the NAS, and they own personal computers and phones on the same network. They know the controls exist. Two motives are considered: convenience, which is the common case, and deliberate data theft, which is rare but carries the highest impact.</w:t>
      </w:r>
      <w:r>
        <w:t xml:space="preserve"> </w:t>
      </w:r>
      <w:r>
        <w:rPr>
          <w:bCs/>
          <w:b/>
        </w:rPr>
        <w:t xml:space="preserve">If employees have local administrator rights, RT-03, RT-11, and RT-12 rise to Critical.</w:t>
      </w:r>
    </w:p>
    <w:p>
      <w:pPr>
        <w:pStyle w:val="BodyText"/>
      </w:pPr>
      <w:r>
        <w:t xml:space="preserve">Severity scale:</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443"/>
        <w:gridCol w:w="8422"/>
      </w:tblGrid>
      <w:tr>
        <w:trPr>
          <w:tblHeader w:val="true"/>
          <w:tblHeader w:val="true"/>
        </w:trPr>
        <w:tc>
          <w:tcPr>
            <w:tcW w:type="dxa" w:w="1443"/>
            <w:shd w:val="clear" w:color="auto" w:fill="DCE6F1"/>
          </w:tcPr>
          <w:p>
            <w:pPr>
              <w:pStyle w:val="Compact"/>
              <w:spacing w:after="20" w:before="20"/>
              <w:jc w:val="left"/>
            </w:pPr>
            <w:r>
              <w:rPr>
                <w:b/>
                <w:sz w:val="17"/>
              </w:rPr>
              <w:t xml:space="preserve">Severity</w:t>
            </w:r>
          </w:p>
        </w:tc>
        <w:tc>
          <w:tcPr>
            <w:tcW w:type="dxa" w:w="8422"/>
            <w:shd w:val="clear" w:color="auto" w:fill="DCE6F1"/>
          </w:tcPr>
          <w:p>
            <w:pPr>
              <w:pStyle w:val="Compact"/>
              <w:spacing w:after="20" w:before="20"/>
              <w:jc w:val="left"/>
            </w:pPr>
            <w:r>
              <w:rPr>
                <w:b/>
                <w:sz w:val="17"/>
              </w:rPr>
              <w:t xml:space="preserve">Meaning</w:t>
            </w:r>
          </w:p>
        </w:tc>
      </w:tr>
      <w:tr>
        <w:tc>
          <w:tcPr>
            <w:tcW w:type="dxa" w:w="1443"/>
          </w:tcPr>
          <w:p>
            <w:pPr>
              <w:pStyle w:val="Compact"/>
              <w:spacing w:after="20" w:before="20"/>
              <w:jc w:val="left"/>
            </w:pPr>
            <w:r>
              <w:rPr>
                <w:sz w:val="17"/>
              </w:rPr>
              <w:t xml:space="preserve">Critical</w:t>
            </w:r>
          </w:p>
        </w:tc>
        <w:tc>
          <w:tcPr>
            <w:tcW w:type="dxa" w:w="8422"/>
          </w:tcPr>
          <w:p>
            <w:pPr>
              <w:pStyle w:val="Compact"/>
              <w:spacing w:after="20" w:before="20"/>
              <w:jc w:val="left"/>
            </w:pPr>
            <w:r>
              <w:rPr>
                <w:sz w:val="17"/>
              </w:rPr>
              <w:t xml:space="preserve">Defeats the objective of the program for any user with ordinary skills, without touching any control in this document</w:t>
            </w:r>
          </w:p>
        </w:tc>
      </w:tr>
      <w:tr>
        <w:tc>
          <w:tcPr>
            <w:tcW w:type="dxa" w:w="1443"/>
          </w:tcPr>
          <w:p>
            <w:pPr>
              <w:pStyle w:val="Compact"/>
              <w:spacing w:after="20" w:before="20"/>
              <w:jc w:val="left"/>
            </w:pPr>
            <w:r>
              <w:rPr>
                <w:sz w:val="17"/>
              </w:rPr>
              <w:t xml:space="preserve">High</w:t>
            </w:r>
          </w:p>
        </w:tc>
        <w:tc>
          <w:tcPr>
            <w:tcW w:type="dxa" w:w="8422"/>
          </w:tcPr>
          <w:p>
            <w:pPr>
              <w:pStyle w:val="Compact"/>
              <w:spacing w:after="20" w:before="20"/>
              <w:jc w:val="left"/>
            </w:pPr>
            <w:r>
              <w:rPr>
                <w:sz w:val="17"/>
              </w:rPr>
              <w:t xml:space="preserve">Defeats one or more use cases for a motivated user without administrator rights</w:t>
            </w:r>
          </w:p>
        </w:tc>
      </w:tr>
      <w:tr>
        <w:tc>
          <w:tcPr>
            <w:tcW w:type="dxa" w:w="1443"/>
          </w:tcPr>
          <w:p>
            <w:pPr>
              <w:pStyle w:val="Compact"/>
              <w:spacing w:after="20" w:before="20"/>
              <w:jc w:val="left"/>
            </w:pPr>
            <w:r>
              <w:rPr>
                <w:sz w:val="17"/>
              </w:rPr>
              <w:t xml:space="preserve">Medium</w:t>
            </w:r>
          </w:p>
        </w:tc>
        <w:tc>
          <w:tcPr>
            <w:tcW w:type="dxa" w:w="8422"/>
          </w:tcPr>
          <w:p>
            <w:pPr>
              <w:pStyle w:val="Compact"/>
              <w:spacing w:after="20" w:before="20"/>
              <w:jc w:val="left"/>
            </w:pPr>
            <w:r>
              <w:rPr>
                <w:sz w:val="17"/>
              </w:rPr>
              <w:t xml:space="preserve">Weakens a use case, or creates a material operational or governance risk</w:t>
            </w:r>
          </w:p>
        </w:tc>
      </w:tr>
      <w:tr>
        <w:tc>
          <w:tcPr>
            <w:tcW w:type="dxa" w:w="1443"/>
          </w:tcPr>
          <w:p>
            <w:pPr>
              <w:pStyle w:val="Compact"/>
              <w:spacing w:after="20" w:before="20"/>
              <w:jc w:val="left"/>
            </w:pPr>
            <w:r>
              <w:rPr>
                <w:sz w:val="17"/>
              </w:rPr>
              <w:t xml:space="preserve">Low</w:t>
            </w:r>
          </w:p>
        </w:tc>
        <w:tc>
          <w:tcPr>
            <w:tcW w:type="dxa" w:w="8422"/>
          </w:tcPr>
          <w:p>
            <w:pPr>
              <w:pStyle w:val="Compact"/>
              <w:spacing w:after="20" w:before="20"/>
              <w:jc w:val="left"/>
            </w:pPr>
            <w:r>
              <w:rPr>
                <w:sz w:val="17"/>
              </w:rPr>
              <w:t xml:space="preserve">Accuracy, evidence, or documentation issue</w:t>
            </w:r>
          </w:p>
        </w:tc>
      </w:tr>
    </w:tbl>
    <w:bookmarkEnd w:id="95"/>
    <w:bookmarkStart w:id="96" w:name="a2-verdict"/>
    <w:p>
      <w:pPr>
        <w:pStyle w:val="Heading3"/>
      </w:pPr>
      <w:r>
        <w:t xml:space="preserve">A.2 Verdict</w:t>
      </w:r>
    </w:p>
    <w:p>
      <w:pPr>
        <w:pStyle w:val="FirstParagraph"/>
      </w:pPr>
      <w:r>
        <w:t xml:space="preserve">The design stops the casual path. An employee who drags a labeled file to a home NAS, or uploads it through the NAS web page, is blocked. It does not stop a motivated insider, for three structural reasons. First, the sanctioned destination is treated as a safe end point, although Microsoft 365 is a transit point to the employee's personal devices (RT-01, RT-02). Second, every rule depends on a label the user can change or launder (RT-04, RT-05), and nothing protects the file once it has left (RT-06). Third, enforcement covers a fixed list of activities and executable names, and anything outside that list is allowed by default (RT-03, RT-11, RT-12). None of these is a product defect. All of them can be fixed with Microsoft controls that the bank is likely to own already under Microsoft 365 E5.</w:t>
      </w:r>
    </w:p>
    <w:bookmarkEnd w:id="96"/>
    <w:bookmarkStart w:id="97" w:name="a3-findings-summary"/>
    <w:p>
      <w:pPr>
        <w:pStyle w:val="Heading3"/>
      </w:pPr>
      <w:r>
        <w:t xml:space="preserve">A.3 Findings summary</w:t>
      </w:r>
    </w:p>
    <w:tbl>
      <w:tblPr>
        <w:tblStyle w:val="Table"/>
        <w:tblW w:type="dxa" w:w="9865"/>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825"/>
        <w:gridCol w:w="2500"/>
        <w:gridCol w:w="1455"/>
        <w:gridCol w:w="1834"/>
        <w:gridCol w:w="1605"/>
        <w:gridCol w:w="1646"/>
      </w:tblGrid>
      <w:tr>
        <w:trPr>
          <w:tblHeader w:val="true"/>
          <w:tblHeader w:val="true"/>
        </w:trPr>
        <w:tc>
          <w:tcPr>
            <w:tcW w:type="dxa" w:w="825"/>
            <w:shd w:val="clear" w:color="auto" w:fill="DCE6F1"/>
          </w:tcPr>
          <w:p>
            <w:pPr>
              <w:pStyle w:val="Compact"/>
              <w:spacing w:after="20" w:before="20"/>
              <w:jc w:val="left"/>
            </w:pPr>
            <w:r>
              <w:rPr>
                <w:b/>
                <w:sz w:val="17"/>
              </w:rPr>
              <w:t xml:space="preserve">ID</w:t>
            </w:r>
          </w:p>
        </w:tc>
        <w:tc>
          <w:tcPr>
            <w:tcW w:type="dxa" w:w="2500"/>
            <w:shd w:val="clear" w:color="auto" w:fill="DCE6F1"/>
          </w:tcPr>
          <w:p>
            <w:pPr>
              <w:pStyle w:val="Compact"/>
              <w:spacing w:after="20" w:before="20"/>
              <w:jc w:val="left"/>
            </w:pPr>
            <w:r>
              <w:rPr>
                <w:b/>
                <w:sz w:val="17"/>
              </w:rPr>
              <w:t xml:space="preserve">Finding</w:t>
            </w:r>
          </w:p>
        </w:tc>
        <w:tc>
          <w:tcPr>
            <w:tcW w:type="dxa" w:w="1455"/>
            <w:shd w:val="clear" w:color="auto" w:fill="DCE6F1"/>
          </w:tcPr>
          <w:p>
            <w:pPr>
              <w:pStyle w:val="Compact"/>
              <w:spacing w:after="20" w:before="20"/>
              <w:jc w:val="left"/>
            </w:pPr>
            <w:r>
              <w:rPr>
                <w:b/>
                <w:sz w:val="17"/>
              </w:rPr>
              <w:t xml:space="preserve">Defeats</w:t>
            </w:r>
          </w:p>
        </w:tc>
        <w:tc>
          <w:tcPr>
            <w:tcW w:type="dxa" w:w="1834"/>
            <w:shd w:val="clear" w:color="auto" w:fill="DCE6F1"/>
          </w:tcPr>
          <w:p>
            <w:pPr>
              <w:pStyle w:val="Compact"/>
              <w:spacing w:after="20" w:before="20"/>
              <w:jc w:val="left"/>
            </w:pPr>
            <w:r>
              <w:rPr>
                <w:b/>
                <w:sz w:val="17"/>
              </w:rPr>
              <w:t xml:space="preserve">Severity</w:t>
            </w:r>
          </w:p>
        </w:tc>
        <w:tc>
          <w:tcPr>
            <w:tcW w:type="dxa" w:w="1605"/>
            <w:shd w:val="clear" w:color="auto" w:fill="DCE6F1"/>
          </w:tcPr>
          <w:p>
            <w:pPr>
              <w:pStyle w:val="Compact"/>
              <w:spacing w:after="20" w:before="20"/>
              <w:jc w:val="left"/>
            </w:pPr>
            <w:r>
              <w:rPr>
                <w:b/>
                <w:sz w:val="17"/>
              </w:rPr>
              <w:t xml:space="preserve">Confidence</w:t>
            </w:r>
          </w:p>
        </w:tc>
        <w:tc>
          <w:tcPr>
            <w:tcW w:type="dxa" w:w="1646"/>
            <w:shd w:val="clear" w:color="auto" w:fill="DCE6F1"/>
          </w:tcPr>
          <w:p>
            <w:pPr>
              <w:pStyle w:val="Compact"/>
              <w:spacing w:after="20" w:before="20"/>
              <w:jc w:val="left"/>
            </w:pPr>
            <w:r>
              <w:rPr>
                <w:b/>
                <w:sz w:val="17"/>
              </w:rPr>
              <w:t xml:space="preserve">Status</w:t>
            </w:r>
          </w:p>
        </w:tc>
      </w:tr>
      <w:tr>
        <w:tc>
          <w:tcPr>
            <w:tcW w:type="dxa" w:w="825"/>
          </w:tcPr>
          <w:p>
            <w:pPr>
              <w:pStyle w:val="Compact"/>
              <w:spacing w:after="20" w:before="20"/>
              <w:jc w:val="left"/>
            </w:pPr>
            <w:r>
              <w:rPr>
                <w:sz w:val="17"/>
              </w:rPr>
              <w:t xml:space="preserve">RT-01</w:t>
            </w:r>
          </w:p>
        </w:tc>
        <w:tc>
          <w:tcPr>
            <w:tcW w:type="dxa" w:w="2500"/>
          </w:tcPr>
          <w:p>
            <w:pPr>
              <w:pStyle w:val="Compact"/>
              <w:spacing w:after="20" w:before="20"/>
              <w:jc w:val="left"/>
            </w:pPr>
            <w:r>
              <w:rPr>
                <w:sz w:val="17"/>
              </w:rPr>
              <w:t xml:space="preserve">Sanctioned Microsoft 365 is a transit point to unmanaged devices</w:t>
            </w:r>
          </w:p>
        </w:tc>
        <w:tc>
          <w:tcPr>
            <w:tcW w:type="dxa" w:w="1455"/>
          </w:tcPr>
          <w:p>
            <w:pPr>
              <w:pStyle w:val="Compact"/>
              <w:spacing w:after="20" w:before="20"/>
              <w:jc w:val="left"/>
            </w:pPr>
            <w:r>
              <w:rPr>
                <w:sz w:val="17"/>
              </w:rPr>
              <w:t xml:space="preserve">All use cases</w:t>
            </w:r>
          </w:p>
        </w:tc>
        <w:tc>
          <w:tcPr>
            <w:tcW w:type="dxa" w:w="1834"/>
          </w:tcPr>
          <w:p>
            <w:pPr>
              <w:pStyle w:val="Compact"/>
              <w:spacing w:after="20" w:before="20"/>
              <w:jc w:val="left"/>
            </w:pPr>
            <w:r>
              <w:rPr>
                <w:sz w:val="17"/>
              </w:rPr>
              <w:t xml:space="preserve">Critical</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(O16)</w:t>
            </w:r>
          </w:p>
        </w:tc>
      </w:tr>
      <w:tr>
        <w:tc>
          <w:tcPr>
            <w:tcW w:type="dxa" w:w="825"/>
          </w:tcPr>
          <w:p>
            <w:pPr>
              <w:pStyle w:val="Compact"/>
              <w:spacing w:after="20" w:before="20"/>
              <w:jc w:val="left"/>
            </w:pPr>
            <w:r>
              <w:rPr>
                <w:sz w:val="17"/>
              </w:rPr>
              <w:t xml:space="preserve">RT-02</w:t>
            </w:r>
          </w:p>
        </w:tc>
        <w:tc>
          <w:tcPr>
            <w:tcW w:type="dxa" w:w="2500"/>
          </w:tcPr>
          <w:p>
            <w:pPr>
              <w:pStyle w:val="Compact"/>
              <w:spacing w:after="20" w:before="20"/>
              <w:jc w:val="left"/>
            </w:pPr>
            <w:r>
              <w:rPr>
                <w:sz w:val="17"/>
              </w:rPr>
              <w:t xml:space="preserve">The cloud allow list sanctions every Microsoft 365 tenant and personal accounts</w:t>
            </w:r>
          </w:p>
        </w:tc>
        <w:tc>
          <w:tcPr>
            <w:tcW w:type="dxa" w:w="1455"/>
          </w:tcPr>
          <w:p>
            <w:pPr>
              <w:pStyle w:val="Compact"/>
              <w:spacing w:after="20" w:before="20"/>
              <w:jc w:val="left"/>
            </w:pPr>
            <w:r>
              <w:rPr>
                <w:sz w:val="17"/>
              </w:rPr>
              <w:t xml:space="preserve">UC-04, UC-06</w:t>
            </w:r>
          </w:p>
        </w:tc>
        <w:tc>
          <w:tcPr>
            <w:tcW w:type="dxa" w:w="1834"/>
          </w:tcPr>
          <w:p>
            <w:pPr>
              <w:pStyle w:val="Compact"/>
              <w:spacing w:after="20" w:before="20"/>
              <w:jc w:val="left"/>
            </w:pPr>
            <w:r>
              <w:rPr>
                <w:sz w:val="17"/>
              </w:rPr>
              <w:t xml:space="preserve">High</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Hostnames corrected; decision pending (O17)</w:t>
            </w:r>
          </w:p>
        </w:tc>
      </w:tr>
      <w:tr>
        <w:tc>
          <w:tcPr>
            <w:tcW w:type="dxa" w:w="825"/>
          </w:tcPr>
          <w:p>
            <w:pPr>
              <w:pStyle w:val="Compact"/>
              <w:spacing w:after="20" w:before="20"/>
              <w:jc w:val="left"/>
            </w:pPr>
            <w:r>
              <w:rPr>
                <w:sz w:val="17"/>
              </w:rPr>
              <w:t xml:space="preserve">RT-03</w:t>
            </w:r>
          </w:p>
        </w:tc>
        <w:tc>
          <w:tcPr>
            <w:tcW w:type="dxa" w:w="2500"/>
          </w:tcPr>
          <w:p>
            <w:pPr>
              <w:pStyle w:val="Compact"/>
              <w:spacing w:after="20" w:before="20"/>
              <w:jc w:val="left"/>
            </w:pPr>
            <w:r>
              <w:rPr>
                <w:sz w:val="17"/>
              </w:rPr>
              <w:t xml:space="preserve">Non-browser network uploads are outside the upload control</w:t>
            </w:r>
          </w:p>
        </w:tc>
        <w:tc>
          <w:tcPr>
            <w:tcW w:type="dxa" w:w="1455"/>
          </w:tcPr>
          <w:p>
            <w:pPr>
              <w:pStyle w:val="Compact"/>
              <w:spacing w:after="20" w:before="20"/>
              <w:jc w:val="left"/>
            </w:pPr>
            <w:r>
              <w:rPr>
                <w:sz w:val="17"/>
              </w:rPr>
              <w:t xml:space="preserve">UC-03, UC-04</w:t>
            </w:r>
          </w:p>
        </w:tc>
        <w:tc>
          <w:tcPr>
            <w:tcW w:type="dxa" w:w="1834"/>
          </w:tcPr>
          <w:p>
            <w:pPr>
              <w:pStyle w:val="Compact"/>
              <w:spacing w:after="20" w:before="20"/>
              <w:jc w:val="left"/>
            </w:pPr>
            <w:r>
              <w:rPr>
                <w:sz w:val="17"/>
              </w:rPr>
              <w:t xml:space="preserve">High</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(O19)</w:t>
            </w:r>
          </w:p>
        </w:tc>
      </w:tr>
      <w:tr>
        <w:tc>
          <w:tcPr>
            <w:tcW w:type="dxa" w:w="825"/>
          </w:tcPr>
          <w:p>
            <w:pPr>
              <w:pStyle w:val="Compact"/>
              <w:spacing w:after="20" w:before="20"/>
              <w:jc w:val="left"/>
            </w:pPr>
            <w:r>
              <w:rPr>
                <w:sz w:val="17"/>
              </w:rPr>
              <w:t xml:space="preserve">RT-04</w:t>
            </w:r>
          </w:p>
        </w:tc>
        <w:tc>
          <w:tcPr>
            <w:tcW w:type="dxa" w:w="2500"/>
          </w:tcPr>
          <w:p>
            <w:pPr>
              <w:pStyle w:val="Compact"/>
              <w:spacing w:after="20" w:before="20"/>
              <w:jc w:val="left"/>
            </w:pPr>
            <w:r>
              <w:rPr>
                <w:sz w:val="17"/>
              </w:rPr>
              <w:t xml:space="preserve">Label downgrade or removal defeats every rule</w:t>
            </w:r>
          </w:p>
        </w:tc>
        <w:tc>
          <w:tcPr>
            <w:tcW w:type="dxa" w:w="1455"/>
          </w:tcPr>
          <w:p>
            <w:pPr>
              <w:pStyle w:val="Compact"/>
              <w:spacing w:after="20" w:before="20"/>
              <w:jc w:val="left"/>
            </w:pPr>
            <w:r>
              <w:rPr>
                <w:sz w:val="17"/>
              </w:rPr>
              <w:t xml:space="preserve">All label-based use cases</w:t>
            </w:r>
          </w:p>
        </w:tc>
        <w:tc>
          <w:tcPr>
            <w:tcW w:type="dxa" w:w="1834"/>
          </w:tcPr>
          <w:p>
            <w:pPr>
              <w:pStyle w:val="Compact"/>
              <w:spacing w:after="20" w:before="20"/>
              <w:jc w:val="left"/>
            </w:pPr>
            <w:r>
              <w:rPr>
                <w:sz w:val="17"/>
              </w:rPr>
              <w:t xml:space="preserve">High</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(O18)</w:t>
            </w:r>
          </w:p>
        </w:tc>
      </w:tr>
      <w:tr>
        <w:tc>
          <w:tcPr>
            <w:tcW w:type="dxa" w:w="825"/>
          </w:tcPr>
          <w:p>
            <w:pPr>
              <w:pStyle w:val="Compact"/>
              <w:spacing w:after="20" w:before="20"/>
              <w:jc w:val="left"/>
            </w:pPr>
            <w:r>
              <w:rPr>
                <w:sz w:val="17"/>
              </w:rPr>
              <w:t xml:space="preserve">RT-05</w:t>
            </w:r>
          </w:p>
        </w:tc>
        <w:tc>
          <w:tcPr>
            <w:tcW w:type="dxa" w:w="2500"/>
          </w:tcPr>
          <w:p>
            <w:pPr>
              <w:pStyle w:val="Compact"/>
              <w:spacing w:after="20" w:before="20"/>
              <w:jc w:val="left"/>
            </w:pPr>
            <w:r>
              <w:rPr>
                <w:sz w:val="17"/>
              </w:rPr>
              <w:t xml:space="preserve">Content laundering creates unlabeled copies</w:t>
            </w:r>
          </w:p>
        </w:tc>
        <w:tc>
          <w:tcPr>
            <w:tcW w:type="dxa" w:w="1455"/>
          </w:tcPr>
          <w:p>
            <w:pPr>
              <w:pStyle w:val="Compact"/>
              <w:spacing w:after="20" w:before="20"/>
              <w:jc w:val="left"/>
            </w:pPr>
            <w:r>
              <w:rPr>
                <w:sz w:val="17"/>
              </w:rPr>
              <w:t xml:space="preserve">UC-07, UC-08, then all</w:t>
            </w:r>
          </w:p>
        </w:tc>
        <w:tc>
          <w:tcPr>
            <w:tcW w:type="dxa" w:w="1834"/>
          </w:tcPr>
          <w:p>
            <w:pPr>
              <w:pStyle w:val="Compact"/>
              <w:spacing w:after="20" w:before="20"/>
              <w:jc w:val="left"/>
            </w:pPr>
            <w:r>
              <w:rPr>
                <w:sz w:val="17"/>
              </w:rPr>
              <w:t xml:space="preserve">High</w:t>
            </w:r>
          </w:p>
        </w:tc>
        <w:tc>
          <w:tcPr>
            <w:tcW w:type="dxa" w:w="1605"/>
          </w:tcPr>
          <w:p>
            <w:pPr>
              <w:pStyle w:val="Compact"/>
              <w:spacing w:after="20" w:before="20"/>
              <w:jc w:val="left"/>
            </w:pPr>
            <w:r>
              <w:rPr>
                <w:sz w:val="17"/>
              </w:rPr>
              <w:t xml:space="preserve">High on gap, medium on fix</w:t>
            </w:r>
          </w:p>
        </w:tc>
        <w:tc>
          <w:tcPr>
            <w:tcW w:type="dxa" w:w="1646"/>
          </w:tcPr>
          <w:p>
            <w:pPr>
              <w:pStyle w:val="Compact"/>
              <w:spacing w:after="20" w:before="20"/>
              <w:jc w:val="left"/>
            </w:pPr>
            <w:r>
              <w:rPr>
                <w:sz w:val="17"/>
              </w:rPr>
              <w:t xml:space="preserve">Decision pending (O18)</w:t>
            </w:r>
          </w:p>
        </w:tc>
      </w:tr>
      <w:tr>
        <w:tc>
          <w:tcPr>
            <w:tcW w:type="dxa" w:w="825"/>
          </w:tcPr>
          <w:p>
            <w:pPr>
              <w:pStyle w:val="Compact"/>
              <w:spacing w:after="20" w:before="20"/>
              <w:jc w:val="left"/>
            </w:pPr>
            <w:r>
              <w:rPr>
                <w:sz w:val="17"/>
              </w:rPr>
              <w:t xml:space="preserve">RT-06</w:t>
            </w:r>
          </w:p>
        </w:tc>
        <w:tc>
          <w:tcPr>
            <w:tcW w:type="dxa" w:w="2500"/>
          </w:tcPr>
          <w:p>
            <w:pPr>
              <w:pStyle w:val="Compact"/>
              <w:spacing w:after="20" w:before="20"/>
              <w:jc w:val="left"/>
            </w:pPr>
            <w:r>
              <w:rPr>
                <w:sz w:val="17"/>
              </w:rPr>
              <w:t xml:space="preserve">Tier 3 has no protection that travels with the file</w:t>
            </w:r>
          </w:p>
        </w:tc>
        <w:tc>
          <w:tcPr>
            <w:tcW w:type="dxa" w:w="1455"/>
          </w:tcPr>
          <w:p>
            <w:pPr>
              <w:pStyle w:val="Compact"/>
              <w:spacing w:after="20" w:before="20"/>
              <w:jc w:val="left"/>
            </w:pPr>
            <w:r>
              <w:rPr>
                <w:sz w:val="17"/>
              </w:rPr>
              <w:t xml:space="preserve">Consequence of every bypass</w:t>
            </w:r>
          </w:p>
        </w:tc>
        <w:tc>
          <w:tcPr>
            <w:tcW w:type="dxa" w:w="1834"/>
          </w:tcPr>
          <w:p>
            <w:pPr>
              <w:pStyle w:val="Compact"/>
              <w:spacing w:after="20" w:before="20"/>
              <w:jc w:val="left"/>
            </w:pPr>
            <w:r>
              <w:rPr>
                <w:sz w:val="17"/>
              </w:rPr>
              <w:t xml:space="preserve">High</w:t>
            </w:r>
          </w:p>
        </w:tc>
        <w:tc>
          <w:tcPr>
            <w:tcW w:type="dxa" w:w="1605"/>
          </w:tcPr>
          <w:p>
            <w:pPr>
              <w:pStyle w:val="Compact"/>
              <w:spacing w:after="20" w:before="20"/>
              <w:jc w:val="left"/>
            </w:pPr>
            <w:r>
              <w:rPr>
                <w:sz w:val="17"/>
              </w:rPr>
              <w:t xml:space="preserve">High on capability, medium on side effects</w:t>
            </w:r>
          </w:p>
        </w:tc>
        <w:tc>
          <w:tcPr>
            <w:tcW w:type="dxa" w:w="1646"/>
          </w:tcPr>
          <w:p>
            <w:pPr>
              <w:pStyle w:val="Compact"/>
              <w:spacing w:after="20" w:before="20"/>
              <w:jc w:val="left"/>
            </w:pPr>
            <w:r>
              <w:rPr>
                <w:sz w:val="17"/>
              </w:rPr>
              <w:t xml:space="preserve">Decision pending (O18)</w:t>
            </w:r>
          </w:p>
        </w:tc>
      </w:tr>
      <w:tr>
        <w:tc>
          <w:tcPr>
            <w:tcW w:type="dxa" w:w="825"/>
          </w:tcPr>
          <w:p>
            <w:pPr>
              <w:pStyle w:val="Compact"/>
              <w:spacing w:after="20" w:before="20"/>
              <w:jc w:val="left"/>
            </w:pPr>
            <w:r>
              <w:rPr>
                <w:sz w:val="17"/>
              </w:rPr>
              <w:t xml:space="preserve">RT-07</w:t>
            </w:r>
          </w:p>
        </w:tc>
        <w:tc>
          <w:tcPr>
            <w:tcW w:type="dxa" w:w="2500"/>
          </w:tcPr>
          <w:p>
            <w:pPr>
              <w:pStyle w:val="Compact"/>
              <w:spacing w:after="20" w:before="20"/>
              <w:jc w:val="left"/>
            </w:pPr>
            <w:r>
              <w:rPr>
                <w:sz w:val="17"/>
              </w:rPr>
              <w:t xml:space="preserve">Allow lists trust names that the employee can control</w:t>
            </w:r>
          </w:p>
        </w:tc>
        <w:tc>
          <w:tcPr>
            <w:tcW w:type="dxa" w:w="1455"/>
          </w:tcPr>
          <w:p>
            <w:pPr>
              <w:pStyle w:val="Compact"/>
              <w:spacing w:after="20" w:before="20"/>
              <w:jc w:val="left"/>
            </w:pPr>
            <w:r>
              <w:rPr>
                <w:sz w:val="17"/>
              </w:rPr>
              <w:t xml:space="preserve">UC-02</w:t>
            </w:r>
          </w:p>
        </w:tc>
        <w:tc>
          <w:tcPr>
            <w:tcW w:type="dxa" w:w="1834"/>
          </w:tcPr>
          <w:p>
            <w:pPr>
              <w:pStyle w:val="Compact"/>
              <w:spacing w:after="20" w:before="20"/>
              <w:jc w:val="left"/>
            </w:pPr>
            <w:r>
              <w:rPr>
                <w:sz w:val="17"/>
              </w:rPr>
              <w:t xml:space="preserve">High if allow lists are non-empty; none if empty</w:t>
            </w:r>
          </w:p>
        </w:tc>
        <w:tc>
          <w:tcPr>
            <w:tcW w:type="dxa" w:w="1605"/>
          </w:tcPr>
          <w:p>
            <w:pPr>
              <w:pStyle w:val="Compact"/>
              <w:spacing w:after="20" w:before="20"/>
              <w:jc w:val="left"/>
            </w:pPr>
            <w:r>
              <w:rPr>
                <w:sz w:val="17"/>
              </w:rPr>
              <w:t xml:space="preserve">High on matching, medium on ease</w:t>
            </w:r>
          </w:p>
        </w:tc>
        <w:tc>
          <w:tcPr>
            <w:tcW w:type="dxa" w:w="1646"/>
          </w:tcPr>
          <w:p>
            <w:pPr>
              <w:pStyle w:val="Compact"/>
              <w:spacing w:after="20" w:before="20"/>
              <w:jc w:val="left"/>
            </w:pPr>
            <w:r>
              <w:rPr>
                <w:sz w:val="17"/>
              </w:rPr>
              <w:t xml:space="preserve">Short names removed; decision pending</w:t>
            </w:r>
          </w:p>
        </w:tc>
      </w:tr>
      <w:tr>
        <w:tc>
          <w:tcPr>
            <w:tcW w:type="dxa" w:w="825"/>
          </w:tcPr>
          <w:p>
            <w:pPr>
              <w:pStyle w:val="Compact"/>
              <w:spacing w:after="20" w:before="20"/>
              <w:jc w:val="left"/>
            </w:pPr>
            <w:r>
              <w:rPr>
                <w:sz w:val="17"/>
              </w:rPr>
              <w:t xml:space="preserve">RT-08</w:t>
            </w:r>
          </w:p>
        </w:tc>
        <w:tc>
          <w:tcPr>
            <w:tcW w:type="dxa" w:w="2500"/>
          </w:tcPr>
          <w:p>
            <w:pPr>
              <w:pStyle w:val="Compact"/>
              <w:spacing w:after="20" w:before="20"/>
              <w:jc w:val="left"/>
            </w:pPr>
            <w:r>
              <w:rPr>
                <w:sz w:val="17"/>
              </w:rPr>
              <w:t xml:space="preserve">Precedence assumptions were wrong or fragile</w:t>
            </w:r>
          </w:p>
        </w:tc>
        <w:tc>
          <w:tcPr>
            <w:tcW w:type="dxa" w:w="1455"/>
          </w:tcPr>
          <w:p>
            <w:pPr>
              <w:pStyle w:val="Compact"/>
              <w:spacing w:after="20" w:before="20"/>
              <w:jc w:val="left"/>
            </w:pPr>
            <w:r>
              <w:rPr>
                <w:sz w:val="17"/>
              </w:rPr>
              <w:t xml:space="preserve">UC-03, T06, future policies</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Medium-high</w:t>
            </w:r>
          </w:p>
        </w:tc>
        <w:tc>
          <w:tcPr>
            <w:tcW w:type="dxa" w:w="1646"/>
          </w:tcPr>
          <w:p>
            <w:pPr>
              <w:pStyle w:val="Compact"/>
              <w:spacing w:after="20" w:before="20"/>
              <w:jc w:val="left"/>
            </w:pPr>
            <w:r>
              <w:rPr>
                <w:sz w:val="17"/>
              </w:rPr>
              <w:t xml:space="preserve">Corrected in v0.3</w:t>
            </w:r>
          </w:p>
        </w:tc>
      </w:tr>
      <w:tr>
        <w:tc>
          <w:tcPr>
            <w:tcW w:type="dxa" w:w="825"/>
          </w:tcPr>
          <w:p>
            <w:pPr>
              <w:pStyle w:val="Compact"/>
              <w:spacing w:after="20" w:before="20"/>
              <w:jc w:val="left"/>
            </w:pPr>
            <w:r>
              <w:rPr>
                <w:sz w:val="17"/>
              </w:rPr>
              <w:t xml:space="preserve">RT-09</w:t>
            </w:r>
          </w:p>
        </w:tc>
        <w:tc>
          <w:tcPr>
            <w:tcW w:type="dxa" w:w="2500"/>
          </w:tcPr>
          <w:p>
            <w:pPr>
              <w:pStyle w:val="Compact"/>
              <w:spacing w:after="20" w:before="20"/>
              <w:jc w:val="left"/>
            </w:pPr>
            <w:r>
              <w:rPr>
                <w:sz w:val="17"/>
              </w:rPr>
              <w:t xml:space="preserve">Unscannable files cap Tier 3 at override</w:t>
            </w:r>
          </w:p>
        </w:tc>
        <w:tc>
          <w:tcPr>
            <w:tcW w:type="dxa" w:w="1455"/>
          </w:tcPr>
          <w:p>
            <w:pPr>
              <w:pStyle w:val="Compact"/>
              <w:spacing w:after="20" w:before="20"/>
              <w:jc w:val="left"/>
            </w:pPr>
            <w:r>
              <w:rPr>
                <w:sz w:val="17"/>
              </w:rPr>
              <w:t xml:space="preserve">UC-10</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(O20)</w:t>
            </w:r>
          </w:p>
        </w:tc>
      </w:tr>
      <w:tr>
        <w:tc>
          <w:tcPr>
            <w:tcW w:type="dxa" w:w="825"/>
          </w:tcPr>
          <w:p>
            <w:pPr>
              <w:pStyle w:val="Compact"/>
              <w:spacing w:after="20" w:before="20"/>
              <w:jc w:val="left"/>
            </w:pPr>
            <w:r>
              <w:rPr>
                <w:sz w:val="17"/>
              </w:rPr>
              <w:t xml:space="preserve">RT-10</w:t>
            </w:r>
          </w:p>
        </w:tc>
        <w:tc>
          <w:tcPr>
            <w:tcW w:type="dxa" w:w="2500"/>
          </w:tcPr>
          <w:p>
            <w:pPr>
              <w:pStyle w:val="Compact"/>
              <w:spacing w:after="20" w:before="20"/>
              <w:jc w:val="left"/>
            </w:pPr>
            <w:r>
              <w:rPr>
                <w:sz w:val="17"/>
              </w:rPr>
              <w:t xml:space="preserve">Tier 2 override toward destinations that are unsanctioned by definition</w:t>
            </w:r>
          </w:p>
        </w:tc>
        <w:tc>
          <w:tcPr>
            <w:tcW w:type="dxa" w:w="1455"/>
          </w:tcPr>
          <w:p>
            <w:pPr>
              <w:pStyle w:val="Compact"/>
              <w:spacing w:after="20" w:before="20"/>
              <w:jc w:val="left"/>
            </w:pPr>
            <w:r>
              <w:rPr>
                <w:sz w:val="17"/>
              </w:rPr>
              <w:t xml:space="preserve">UC-01, UC-03, UC-09</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(O20)</w:t>
            </w:r>
          </w:p>
        </w:tc>
      </w:tr>
      <w:tr>
        <w:tc>
          <w:tcPr>
            <w:tcW w:type="dxa" w:w="825"/>
          </w:tcPr>
          <w:p>
            <w:pPr>
              <w:pStyle w:val="Compact"/>
              <w:spacing w:after="20" w:before="20"/>
              <w:jc w:val="left"/>
            </w:pPr>
            <w:r>
              <w:rPr>
                <w:sz w:val="17"/>
              </w:rPr>
              <w:t xml:space="preserve">RT-11</w:t>
            </w:r>
          </w:p>
        </w:tc>
        <w:tc>
          <w:tcPr>
            <w:tcW w:type="dxa" w:w="2500"/>
          </w:tcPr>
          <w:p>
            <w:pPr>
              <w:pStyle w:val="Compact"/>
              <w:spacing w:after="20" w:before="20"/>
              <w:jc w:val="left"/>
            </w:pPr>
            <w:r>
              <w:rPr>
                <w:sz w:val="17"/>
              </w:rPr>
              <w:t xml:space="preserve">Browser and app lists are keyed on names that can be changed</w:t>
            </w:r>
          </w:p>
        </w:tc>
        <w:tc>
          <w:tcPr>
            <w:tcW w:type="dxa" w:w="1455"/>
          </w:tcPr>
          <w:p>
            <w:pPr>
              <w:pStyle w:val="Compact"/>
              <w:spacing w:after="20" w:before="20"/>
              <w:jc w:val="left"/>
            </w:pPr>
            <w:r>
              <w:rPr>
                <w:sz w:val="17"/>
              </w:rPr>
              <w:t xml:space="preserve">UC-05, UC-06, UC-13</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(O19)</w:t>
            </w:r>
          </w:p>
        </w:tc>
      </w:tr>
      <w:tr>
        <w:tc>
          <w:tcPr>
            <w:tcW w:type="dxa" w:w="825"/>
          </w:tcPr>
          <w:p>
            <w:pPr>
              <w:pStyle w:val="Compact"/>
              <w:spacing w:after="20" w:before="20"/>
              <w:jc w:val="left"/>
            </w:pPr>
            <w:r>
              <w:rPr>
                <w:sz w:val="17"/>
              </w:rPr>
              <w:t xml:space="preserve">RT-12</w:t>
            </w:r>
          </w:p>
        </w:tc>
        <w:tc>
          <w:tcPr>
            <w:tcW w:type="dxa" w:w="2500"/>
          </w:tcPr>
          <w:p>
            <w:pPr>
              <w:pStyle w:val="Compact"/>
              <w:spacing w:after="20" w:before="20"/>
              <w:jc w:val="left"/>
            </w:pPr>
            <w:r>
              <w:rPr>
                <w:sz w:val="17"/>
              </w:rPr>
              <w:t xml:space="preserve">Fail-open states are not modeled</w:t>
            </w:r>
          </w:p>
        </w:tc>
        <w:tc>
          <w:tcPr>
            <w:tcW w:type="dxa" w:w="1455"/>
          </w:tcPr>
          <w:p>
            <w:pPr>
              <w:pStyle w:val="Compact"/>
              <w:spacing w:after="20" w:before="20"/>
              <w:jc w:val="left"/>
            </w:pPr>
            <w:r>
              <w:rPr>
                <w:sz w:val="17"/>
              </w:rPr>
              <w:t xml:space="preserve">All</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(O21)</w:t>
            </w:r>
          </w:p>
        </w:tc>
      </w:tr>
      <w:tr>
        <w:tc>
          <w:tcPr>
            <w:tcW w:type="dxa" w:w="825"/>
          </w:tcPr>
          <w:p>
            <w:pPr>
              <w:pStyle w:val="Compact"/>
              <w:spacing w:after="20" w:before="20"/>
              <w:jc w:val="left"/>
            </w:pPr>
            <w:r>
              <w:rPr>
                <w:sz w:val="17"/>
              </w:rPr>
              <w:t xml:space="preserve">RT-13</w:t>
            </w:r>
          </w:p>
        </w:tc>
        <w:tc>
          <w:tcPr>
            <w:tcW w:type="dxa" w:w="2500"/>
          </w:tcPr>
          <w:p>
            <w:pPr>
              <w:pStyle w:val="Compact"/>
              <w:spacing w:after="20" w:before="20"/>
              <w:jc w:val="left"/>
            </w:pPr>
            <w:r>
              <w:rPr>
                <w:sz w:val="17"/>
              </w:rPr>
              <w:t xml:space="preserve">Simulation week 2 is enforcement</w:t>
            </w:r>
          </w:p>
        </w:tc>
        <w:tc>
          <w:tcPr>
            <w:tcW w:type="dxa" w:w="1455"/>
          </w:tcPr>
          <w:p>
            <w:pPr>
              <w:pStyle w:val="Compact"/>
              <w:spacing w:after="20" w:before="20"/>
              <w:jc w:val="left"/>
            </w:pPr>
            <w:r>
              <w:rPr>
                <w:sz w:val="17"/>
              </w:rPr>
              <w:t xml:space="preserve">Phase 3</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Corrected in v0.3</w:t>
            </w:r>
          </w:p>
        </w:tc>
      </w:tr>
      <w:tr>
        <w:tc>
          <w:tcPr>
            <w:tcW w:type="dxa" w:w="825"/>
          </w:tcPr>
          <w:p>
            <w:pPr>
              <w:pStyle w:val="Compact"/>
              <w:spacing w:after="20" w:before="20"/>
              <w:jc w:val="left"/>
            </w:pPr>
            <w:r>
              <w:rPr>
                <w:sz w:val="17"/>
              </w:rPr>
              <w:t xml:space="preserve">RT-14</w:t>
            </w:r>
          </w:p>
        </w:tc>
        <w:tc>
          <w:tcPr>
            <w:tcW w:type="dxa" w:w="2500"/>
          </w:tcPr>
          <w:p>
            <w:pPr>
              <w:pStyle w:val="Compact"/>
              <w:spacing w:after="20" w:before="20"/>
              <w:jc w:val="left"/>
            </w:pPr>
            <w:r>
              <w:rPr>
                <w:sz w:val="17"/>
              </w:rPr>
              <w:t xml:space="preserve">No volume dimension; insider analytics come too late</w:t>
            </w:r>
          </w:p>
        </w:tc>
        <w:tc>
          <w:tcPr>
            <w:tcW w:type="dxa" w:w="1455"/>
          </w:tcPr>
          <w:p>
            <w:pPr>
              <w:pStyle w:val="Compact"/>
              <w:spacing w:after="20" w:before="20"/>
              <w:jc w:val="left"/>
            </w:pPr>
            <w:r>
              <w:rPr>
                <w:sz w:val="17"/>
              </w:rPr>
              <w:t xml:space="preserve">Detection</w:t>
            </w:r>
          </w:p>
        </w:tc>
        <w:tc>
          <w:tcPr>
            <w:tcW w:type="dxa" w:w="1834"/>
          </w:tcPr>
          <w:p>
            <w:pPr>
              <w:pStyle w:val="Compact"/>
              <w:spacing w:after="20" w:before="20"/>
              <w:jc w:val="left"/>
            </w:pPr>
            <w:r>
              <w:rPr>
                <w:sz w:val="17"/>
              </w:rPr>
              <w:t xml:space="preserve">Medium</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Decision pending (O21)</w:t>
            </w:r>
          </w:p>
        </w:tc>
      </w:tr>
      <w:tr>
        <w:tc>
          <w:tcPr>
            <w:tcW w:type="dxa" w:w="825"/>
          </w:tcPr>
          <w:p>
            <w:pPr>
              <w:pStyle w:val="Compact"/>
              <w:spacing w:after="20" w:before="20"/>
              <w:jc w:val="left"/>
            </w:pPr>
            <w:r>
              <w:rPr>
                <w:sz w:val="17"/>
              </w:rPr>
              <w:t xml:space="preserve">RT-15</w:t>
            </w:r>
          </w:p>
        </w:tc>
        <w:tc>
          <w:tcPr>
            <w:tcW w:type="dxa" w:w="2500"/>
          </w:tcPr>
          <w:p>
            <w:pPr>
              <w:pStyle w:val="Compact"/>
              <w:spacing w:after="20" w:before="20"/>
              <w:jc w:val="left"/>
            </w:pPr>
            <w:r>
              <w:rPr>
                <w:sz w:val="17"/>
              </w:rPr>
              <w:t xml:space="preserve">macOS-specific gaps: offline evaluation and AirDrop</w:t>
            </w:r>
          </w:p>
        </w:tc>
        <w:tc>
          <w:tcPr>
            <w:tcW w:type="dxa" w:w="1455"/>
          </w:tcPr>
          <w:p>
            <w:pPr>
              <w:pStyle w:val="Compact"/>
              <w:spacing w:after="20" w:before="20"/>
              <w:jc w:val="left"/>
            </w:pPr>
            <w:r>
              <w:rPr>
                <w:sz w:val="17"/>
              </w:rPr>
              <w:t xml:space="preserve">UC-11, UC-01</w:t>
            </w:r>
          </w:p>
        </w:tc>
        <w:tc>
          <w:tcPr>
            <w:tcW w:type="dxa" w:w="1834"/>
          </w:tcPr>
          <w:p>
            <w:pPr>
              <w:pStyle w:val="Compact"/>
              <w:spacing w:after="20" w:before="20"/>
              <w:jc w:val="left"/>
            </w:pPr>
            <w:r>
              <w:rPr>
                <w:sz w:val="17"/>
              </w:rPr>
              <w:t xml:space="preserve">Low to medium</w:t>
            </w:r>
          </w:p>
        </w:tc>
        <w:tc>
          <w:tcPr>
            <w:tcW w:type="dxa" w:w="1605"/>
          </w:tcPr>
          <w:p>
            <w:pPr>
              <w:pStyle w:val="Compact"/>
              <w:spacing w:after="20" w:before="20"/>
              <w:jc w:val="left"/>
            </w:pPr>
            <w:r>
              <w:rPr>
                <w:sz w:val="17"/>
              </w:rPr>
              <w:t xml:space="preserve">High on offline, medium on AirDrop</w:t>
            </w:r>
          </w:p>
        </w:tc>
        <w:tc>
          <w:tcPr>
            <w:tcW w:type="dxa" w:w="1646"/>
          </w:tcPr>
          <w:p>
            <w:pPr>
              <w:pStyle w:val="Compact"/>
              <w:spacing w:after="20" w:before="20"/>
              <w:jc w:val="left"/>
            </w:pPr>
            <w:r>
              <w:rPr>
                <w:sz w:val="17"/>
              </w:rPr>
              <w:t xml:space="preserve">Lab test required</w:t>
            </w:r>
          </w:p>
        </w:tc>
      </w:tr>
      <w:tr>
        <w:tc>
          <w:tcPr>
            <w:tcW w:type="dxa" w:w="825"/>
          </w:tcPr>
          <w:p>
            <w:pPr>
              <w:pStyle w:val="Compact"/>
              <w:spacing w:after="20" w:before="20"/>
              <w:jc w:val="left"/>
            </w:pPr>
            <w:r>
              <w:rPr>
                <w:sz w:val="17"/>
              </w:rPr>
              <w:t xml:space="preserve">RT-16</w:t>
            </w:r>
          </w:p>
        </w:tc>
        <w:tc>
          <w:tcPr>
            <w:tcW w:type="dxa" w:w="2500"/>
          </w:tcPr>
          <w:p>
            <w:pPr>
              <w:pStyle w:val="Compact"/>
              <w:spacing w:after="20" w:before="20"/>
              <w:jc w:val="left"/>
            </w:pPr>
            <w:r>
              <w:rPr>
                <w:sz w:val="17"/>
              </w:rPr>
              <w:t xml:space="preserve">Accuracy errors in v0.2</w:t>
            </w:r>
          </w:p>
        </w:tc>
        <w:tc>
          <w:tcPr>
            <w:tcW w:type="dxa" w:w="1455"/>
          </w:tcPr>
          <w:p>
            <w:pPr>
              <w:pStyle w:val="Compact"/>
              <w:spacing w:after="20" w:before="20"/>
              <w:jc w:val="left"/>
            </w:pPr>
            <w:r>
              <w:rPr>
                <w:sz w:val="17"/>
              </w:rPr>
              <w:t xml:space="preserve">Credibility of the document</w:t>
            </w:r>
          </w:p>
        </w:tc>
        <w:tc>
          <w:tcPr>
            <w:tcW w:type="dxa" w:w="1834"/>
          </w:tcPr>
          <w:p>
            <w:pPr>
              <w:pStyle w:val="Compact"/>
              <w:spacing w:after="20" w:before="20"/>
              <w:jc w:val="left"/>
            </w:pPr>
            <w:r>
              <w:rPr>
                <w:sz w:val="17"/>
              </w:rPr>
              <w:t xml:space="preserve">Low</w:t>
            </w:r>
          </w:p>
        </w:tc>
        <w:tc>
          <w:tcPr>
            <w:tcW w:type="dxa" w:w="1605"/>
          </w:tcPr>
          <w:p>
            <w:pPr>
              <w:pStyle w:val="Compact"/>
              <w:spacing w:after="20" w:before="20"/>
              <w:jc w:val="left"/>
            </w:pPr>
            <w:r>
              <w:rPr>
                <w:sz w:val="17"/>
              </w:rPr>
              <w:t xml:space="preserve">High</w:t>
            </w:r>
          </w:p>
        </w:tc>
        <w:tc>
          <w:tcPr>
            <w:tcW w:type="dxa" w:w="1646"/>
          </w:tcPr>
          <w:p>
            <w:pPr>
              <w:pStyle w:val="Compact"/>
              <w:spacing w:after="20" w:before="20"/>
              <w:jc w:val="left"/>
            </w:pPr>
            <w:r>
              <w:rPr>
                <w:sz w:val="17"/>
              </w:rPr>
              <w:t xml:space="preserve">Corrected in v0.3</w:t>
            </w:r>
          </w:p>
        </w:tc>
      </w:tr>
    </w:tbl>
    <w:bookmarkEnd w:id="97"/>
    <w:bookmarkStart w:id="114" w:name="a4-findings-in-detail"/>
    <w:p>
      <w:pPr>
        <w:pStyle w:val="Heading3"/>
      </w:pPr>
      <w:r>
        <w:t xml:space="preserve">A.4 Findings in detail</w:t>
      </w:r>
    </w:p>
    <w:bookmarkStart w:id="98" w:name="X89ab6f16af816d180a144ac57755d0a9e2a4a7c"/>
    <w:p>
      <w:pPr>
        <w:pStyle w:val="Heading4"/>
      </w:pPr>
      <w:r>
        <w:t xml:space="preserve">RT-01 Sanctioned Microsoft 365 is a transit point to unmanaged devices (Critical)</w:t>
      </w:r>
    </w:p>
    <w:p>
      <w:pPr>
        <w:pStyle w:val="FirstParagraph"/>
      </w:pPr>
      <w:r>
        <w:rPr>
          <w:bCs/>
          <w:b/>
        </w:rPr>
        <w:t xml:space="preserve">Finding.</w:t>
      </w:r>
      <w:r>
        <w:t xml:space="preserve"> </w:t>
      </w:r>
      <w:r>
        <w:t xml:space="preserve">The design allows Tier 3 files to be uploaded to Microsoft 365 (UC-04, T08) and attached in Outlook on the web and Teams. Endpoint DLP governs only the bank device. An employee who places a file in their own OneDrive, or mails or shares it to themselves, can then sign in to Microsoft 365 from a personal home computer and save the file to the NAS. No control in this document sees that last step. Limitation L9 names personal devices but lists the compensating controls as optional, and section 2.2 puts Exchange and Teams DLP out of scope.</w:t>
      </w:r>
    </w:p>
    <w:p>
      <w:pPr>
        <w:pStyle w:val="BodyText"/>
      </w:pPr>
      <w:r>
        <w:rPr>
          <w:bCs/>
          <w:b/>
        </w:rPr>
        <w:t xml:space="preserve">Recommendation.</w:t>
      </w:r>
      <w:r>
        <w:t xml:space="preserve"> </w:t>
      </w:r>
      <w:r>
        <w:t xml:space="preserve">Make the following prerequisites before Phase 3. Require a compliant device for Microsoft 365 through Conditional Access, or at least allow only web access without download from unmanaged devices, using the SharePoint unmanaged-device access controls or a Defender for Cloud Apps session policy. Block "Anyone" links and external sharing for Tier 2 and Tier 3 content through label and SharePoint sharing settings. Deploy an Exchange and Teams DLP policy that blocks sending Tier 3 to external recipients. Validation: T25, T28.</w:t>
      </w:r>
    </w:p>
    <w:bookmarkEnd w:id="98"/>
    <w:bookmarkStart w:id="99" w:name="X4f40984f2d4e916a3b0b7e4c142496ece804a5d"/>
    <w:p>
      <w:pPr>
        <w:pStyle w:val="Heading4"/>
      </w:pPr>
      <w:r>
        <w:t xml:space="preserve">RT-02 The cloud allow list sanctions every tenant (High)</w:t>
      </w:r>
    </w:p>
    <w:p>
      <w:pPr>
        <w:pStyle w:val="FirstParagraph"/>
      </w:pPr>
      <w:r>
        <w:rPr>
          <w:bCs/>
          <w:b/>
        </w:rPr>
        <w:t xml:space="preserve">Finding.</w:t>
      </w:r>
      <w:r>
        <w:t xml:space="preserve"> </w:t>
      </w:r>
      <w:r>
        <w:rPr>
          <w:rStyle w:val="VerbatimChar"/>
        </w:rPr>
        <w:t xml:space="preserve">*.sharepoint.com</w:t>
      </w:r>
      <w:r>
        <w:t xml:space="preserve">, the Teams and Outlook web hostnames, and the Office portal are shared by all Microsoft 365 customers, and parts of them also serve personal Microsoft accounts. An upload to another organization's SharePoint, to a trial tenant the employee created, or to a personal account session matches the allow list. The OneDrive sync client can also be signed in to a personal account or to another tenant, and UC-06 treats OneDrive as sanctioned.</w:t>
      </w:r>
    </w:p>
    <w:p>
      <w:pPr>
        <w:pStyle w:val="BodyText"/>
      </w:pPr>
      <w:r>
        <w:rPr>
          <w:bCs/>
          <w:b/>
        </w:rPr>
        <w:t xml:space="preserve">Recommendation.</w:t>
      </w:r>
      <w:r>
        <w:t xml:space="preserve"> </w:t>
      </w:r>
      <w:r>
        <w:t xml:space="preserve">Use tenant-specific SharePoint hostnames; section 4.2 is corrected. Configure Entra tenant restrictions v2 with a default that blocks external tenants and consumer accounts. On Windows, signal it from managed devices; this covers Edge and Windows components, while Chrome, Firefox, and other clients need App Control for Business or the firewall option Microsoft documents. To cover macOS and non-Microsoft browsers, use universal tenant restrictions through Global Secure Access. Microsoft documents that blocking the consumer-account tenant does not block every pass-through sign-in used by Office.com, so test the result. Set the OneDrive policies AllowTenantList and DisablePersonalSync on Windows and macOS. Validation: T26, T27.</w:t>
      </w:r>
    </w:p>
    <w:bookmarkEnd w:id="99"/>
    <w:bookmarkStart w:id="100" w:name="Xa9df162feb3235c64e2490edb6d548448a34398"/>
    <w:p>
      <w:pPr>
        <w:pStyle w:val="Heading4"/>
      </w:pPr>
      <w:r>
        <w:t xml:space="preserve">RT-03 Non-browser network uploads are outside the upload control (High)</w:t>
      </w:r>
    </w:p>
    <w:p>
      <w:pPr>
        <w:pStyle w:val="FirstParagraph"/>
      </w:pPr>
      <w:r>
        <w:rPr>
          <w:bCs/>
          <w:b/>
        </w:rPr>
        <w:t xml:space="preserve">Finding.</w:t>
      </w:r>
      <w:r>
        <w:t xml:space="preserve"> </w:t>
      </w:r>
      <w:r>
        <w:t xml:space="preserve">The Service domains control applies only to uploads made in supported browsers. Scripting environments, command-line HTTP clients, third-party transfer utilities, and NAS vendor tools that are not on the restricted app list can send a labeled file to the NAS web interface, its relay service, or a cloud storage API without any DLP match. FTP and SFTP are covered by UC-09; other protocols are not.</w:t>
      </w:r>
    </w:p>
    <w:p>
      <w:pPr>
        <w:pStyle w:val="BodyText"/>
      </w:pPr>
      <w:r>
        <w:rPr>
          <w:bCs/>
          <w:b/>
        </w:rPr>
        <w:t xml:space="preserve">Recommendation.</w:t>
      </w:r>
      <w:r>
        <w:t xml:space="preserve"> </w:t>
      </w:r>
      <w:r>
        <w:t xml:space="preserve">Apply application control: App Control for Business on Windows and MDM-managed allow-listing on macOS, restricting which executables standard users can run. Run PowerShell in Constrained Language Mode for standard users. Apply the host firewall rule from 11.5 to private address ranges. Bring Purview Network Data Security (11.4) forward if licensing allows. Confirm whether users have local administrator rights; if they do, this finding is Critical. Validation: T30.</w:t>
      </w:r>
    </w:p>
    <w:bookmarkEnd w:id="100"/>
    <w:bookmarkStart w:id="101" w:name="Xe94e2eb676342bec26430a6a5958faabbb6d684"/>
    <w:p>
      <w:pPr>
        <w:pStyle w:val="Heading4"/>
      </w:pPr>
      <w:r>
        <w:t xml:space="preserve">RT-04 Label downgrade or removal defeats every rule (High)</w:t>
      </w:r>
    </w:p>
    <w:p>
      <w:pPr>
        <w:pStyle w:val="FirstParagraph"/>
      </w:pPr>
      <w:r>
        <w:rPr>
          <w:bCs/>
          <w:b/>
        </w:rPr>
        <w:t xml:space="preserve">Finding.</w:t>
      </w:r>
      <w:r>
        <w:t xml:space="preserve"> </w:t>
      </w:r>
      <w:r>
        <w:t xml:space="preserve">All rules key on the label. A user allowed to lower or remove the label turns a Tier 3 file into an unprotected one in a single step. The document does not specify the label policy settings for downgrade.</w:t>
      </w:r>
    </w:p>
    <w:p>
      <w:pPr>
        <w:pStyle w:val="BodyText"/>
      </w:pPr>
      <w:r>
        <w:rPr>
          <w:bCs/>
          <w:b/>
        </w:rPr>
        <w:t xml:space="preserve">Recommendation.</w:t>
      </w:r>
      <w:r>
        <w:t xml:space="preserve"> </w:t>
      </w:r>
      <w:r>
        <w:t xml:space="preserve">Require a justification to lower or remove a label, restrict who can remove labels, and alert on downgrades of Tier 3 and Tier 2. Make the sensitive-information-type rule in 7.2 mandatory, so that the content is caught even when the label is gone. Set default sensitivity labels on sensitive SharePoint libraries, so that files taken from those libraries carry a label regardless of user action. Validation: T29.</w:t>
      </w:r>
    </w:p>
    <w:bookmarkEnd w:id="101"/>
    <w:bookmarkStart w:id="102" w:name="X01401b3e3ceff99eb3b6842a7230dc29622bf16"/>
    <w:p>
      <w:pPr>
        <w:pStyle w:val="Heading4"/>
      </w:pPr>
      <w:r>
        <w:t xml:space="preserve">RT-05 Content laundering creates unlabeled copies (High)</w:t>
      </w:r>
    </w:p>
    <w:p>
      <w:pPr>
        <w:pStyle w:val="FirstParagraph"/>
      </w:pPr>
      <w:r>
        <w:rPr>
          <w:bCs/>
          <w:b/>
        </w:rPr>
        <w:t xml:space="preserve">Finding.</w:t>
      </w:r>
      <w:r>
        <w:t xml:space="preserve"> </w:t>
      </w:r>
      <w:r>
        <w:t xml:space="preserve">Three paths produce sensitive content without a label. Printing to a PDF or file printer creates a new, unlabeled file, and Print is only Block with override. Text copied from a Tier 3 document opened in Office for the web is not a local file, so UC-07 does not apply, and UC-08 checks sensitive information types, not labels. For Tier 2, an override followed by a paste into a new document produces an unlabeled copy. The new file then leaves through any channel.</w:t>
      </w:r>
    </w:p>
    <w:p>
      <w:pPr>
        <w:pStyle w:val="BodyText"/>
      </w:pPr>
      <w:r>
        <w:rPr>
          <w:bCs/>
          <w:b/>
        </w:rPr>
        <w:t xml:space="preserve">Recommendation.</w:t>
      </w:r>
      <w:r>
        <w:t xml:space="preserve"> </w:t>
      </w:r>
      <w:r>
        <w:t xml:space="preserve">Configure the Tier 3 label to apply encryption with usage rights that exclude "Copy and extract content" (EXTRACT) and Print for most users. Microsoft documents that Office apps, including Office for the web, enforce these rights. Create a printer group for PDF and file printers with action Block; Windows supports print-to-file in printer groups. Retyping and photos remain residual risk (L10). Validation: T32, T33.</w:t>
      </w:r>
    </w:p>
    <w:bookmarkEnd w:id="102"/>
    <w:bookmarkStart w:id="103" w:name="X30abaa21f663926c96448d012340c2274054432"/>
    <w:p>
      <w:pPr>
        <w:pStyle w:val="Heading4"/>
      </w:pPr>
      <w:r>
        <w:t xml:space="preserve">RT-06 Tier 3 has no protection that travels with the file (High)</w:t>
      </w:r>
    </w:p>
    <w:p>
      <w:pPr>
        <w:pStyle w:val="FirstParagraph"/>
      </w:pPr>
      <w:r>
        <w:rPr>
          <w:bCs/>
          <w:b/>
        </w:rPr>
        <w:t xml:space="preserve">Finding.</w:t>
      </w:r>
      <w:r>
        <w:t xml:space="preserve"> </w:t>
      </w:r>
      <w:r>
        <w:t xml:space="preserve">The design is entirely egress control. Any single bypass from RT-01 to RT-05 leaves a readable file on the home NAS permanently, where everyone in the household can read it (L20).</w:t>
      </w:r>
    </w:p>
    <w:p>
      <w:pPr>
        <w:pStyle w:val="BodyText"/>
      </w:pPr>
      <w:r>
        <w:rPr>
          <w:bCs/>
          <w:b/>
        </w:rPr>
        <w:t xml:space="preserve">Recommendation.</w:t>
      </w:r>
      <w:r>
        <w:t xml:space="preserve"> </w:t>
      </w:r>
      <w:r>
        <w:t xml:space="preserve">Apply encryption on the Tier 3 label. Add a Conditional Access policy for the Microsoft Rights Management service that requires a compliant device, and set a short offline use-license period. A leaked file is then unreadable away from managed devices. Before adoption, assess co-authoring (enable co-authoring for encrypted files), search and eDiscovery (supported in SharePoint once labels for Office files are enabled), third-party recipients, and mobile access. This is the strongest single control available, and v0.2 did not mention it. Validation: T35.</w:t>
      </w:r>
    </w:p>
    <w:bookmarkEnd w:id="103"/>
    <w:bookmarkStart w:id="104" w:name="X84e76aab8c86559791f58216388d23e7b13aa29"/>
    <w:p>
      <w:pPr>
        <w:pStyle w:val="Heading4"/>
      </w:pPr>
      <w:r>
        <w:t xml:space="preserve">RT-07 Allow lists trust names that the employee can control (High if allow lists are non-empty)</w:t>
      </w:r>
    </w:p>
    <w:p>
      <w:pPr>
        <w:pStyle w:val="FirstParagraph"/>
      </w:pPr>
      <w:r>
        <w:rPr>
          <w:bCs/>
          <w:b/>
        </w:rPr>
        <w:t xml:space="preserve">Finding.</w:t>
      </w:r>
      <w:r>
        <w:t xml:space="preserve"> </w:t>
      </w:r>
      <w:r>
        <w:t xml:space="preserve">Network share groups match UNC path strings, and URL groups match hostnames. Neither verifies the identity of the server that answers. On a home network the employee controls name resolution and can give the NAS any name. Version 0.2 also advised adding short names, which made this trivial.</w:t>
      </w:r>
    </w:p>
    <w:p>
      <w:pPr>
        <w:pStyle w:val="BodyText"/>
      </w:pPr>
      <w:r>
        <w:rPr>
          <w:bCs/>
          <w:b/>
        </w:rPr>
        <w:t xml:space="preserve">Recommendation.</w:t>
      </w:r>
      <w:r>
        <w:t xml:space="preserve"> </w:t>
      </w:r>
      <w:r>
        <w:t xml:space="preserve">Keep the allow lists empty; this is the preferred option. If an entry is unavoidable, use the FQDN only (corrected in 4.3). Bind the allowance to the corporate VPN through the VPN network exception, which is Windows only. Apply hardened UNC paths that require mutual authentication for those servers, and restrict outbound NTLM. Validation: T37.</w:t>
      </w:r>
    </w:p>
    <w:bookmarkEnd w:id="104"/>
    <w:bookmarkStart w:id="105" w:name="Xaf27059cfef17c9ea793daf32e8a5c54ef3e964"/>
    <w:p>
      <w:pPr>
        <w:pStyle w:val="Heading4"/>
      </w:pPr>
      <w:r>
        <w:t xml:space="preserve">RT-08 Precedence assumptions were wrong or fragile (Medium)</w:t>
      </w:r>
    </w:p>
    <w:p>
      <w:pPr>
        <w:pStyle w:val="FirstParagraph"/>
      </w:pPr>
      <w:r>
        <w:rPr>
          <w:bCs/>
          <w:b/>
        </w:rPr>
        <w:t xml:space="preserve">Finding.</w:t>
      </w:r>
      <w:r>
        <w:t xml:space="preserve"> </w:t>
      </w:r>
      <w:r>
        <w:t xml:space="preserve">Version 0.2 assumed that an Allow URL group overrides an overlapping Block IP-range group. Microsoft documents that Endpoint DLP applies the most restrictive action across matching policies and authorization groups, so the overlap will most likely resolve to Block. In addition, an Allow group only applies inside the policy that defines it. Any future Devices policy without it re-blocks sanctioned destinations, and the predictable operational response is to weaken the global actions.</w:t>
      </w:r>
    </w:p>
    <w:p>
      <w:pPr>
        <w:pStyle w:val="BodyText"/>
      </w:pPr>
      <w:r>
        <w:rPr>
          <w:bCs/>
          <w:b/>
        </w:rPr>
        <w:t xml:space="preserve">Recommendation.</w:t>
      </w:r>
      <w:r>
        <w:t xml:space="preserve"> </w:t>
      </w:r>
      <w:r>
        <w:t xml:space="preserve">Never overlap groups; section 4.5 and T06 are corrected. Give one owner responsibility for all Devices policies, and compare allow groups across policies before every change.</w:t>
      </w:r>
    </w:p>
    <w:bookmarkEnd w:id="105"/>
    <w:bookmarkStart w:id="106" w:name="X7b1dde1aa4dc1a61a98a9fb68bfdcf81c4e4b5b"/>
    <w:p>
      <w:pPr>
        <w:pStyle w:val="Heading4"/>
      </w:pPr>
      <w:r>
        <w:t xml:space="preserve">RT-09 Unscannable files cap Tier 3 at override (Medium)</w:t>
      </w:r>
    </w:p>
    <w:p>
      <w:pPr>
        <w:pStyle w:val="FirstParagraph"/>
      </w:pPr>
      <w:r>
        <w:rPr>
          <w:bCs/>
          <w:b/>
        </w:rPr>
        <w:t xml:space="preserve">Finding.</w:t>
      </w:r>
      <w:r>
        <w:t xml:space="preserve"> </w:t>
      </w:r>
      <w:r>
        <w:t xml:space="preserve">EDLP-03 applies Block with override, for every tier, to files that cannot be scanned. A Tier 3 file inside a password-protected archive therefore leaves with a justification, which is Tier 2 behavior.</w:t>
      </w:r>
    </w:p>
    <w:p>
      <w:pPr>
        <w:pStyle w:val="BodyText"/>
      </w:pPr>
      <w:r>
        <w:rPr>
          <w:bCs/>
          <w:b/>
        </w:rPr>
        <w:t xml:space="preserve">Recommendation.</w:t>
      </w:r>
      <w:r>
        <w:t xml:space="preserve"> </w:t>
      </w:r>
      <w:r>
        <w:t xml:space="preserve">Apply Block without override to unscannable files sent to network shares and removable media, and route genuine needs through the exception process. Validation: T34.</w:t>
      </w:r>
    </w:p>
    <w:bookmarkEnd w:id="106"/>
    <w:bookmarkStart w:id="107" w:name="X8927f94eeaf7232b24674d4f414f395555f28e3"/>
    <w:p>
      <w:pPr>
        <w:pStyle w:val="Heading4"/>
      </w:pPr>
      <w:r>
        <w:t xml:space="preserve">RT-10 Tier 2 override toward destinations that are unsanctioned by definition (Medium)</w:t>
      </w:r>
    </w:p>
    <w:p>
      <w:pPr>
        <w:pStyle w:val="FirstParagraph"/>
      </w:pPr>
      <w:r>
        <w:rPr>
          <w:bCs/>
          <w:b/>
        </w:rPr>
        <w:t xml:space="preserve">Finding.</w:t>
      </w:r>
      <w:r>
        <w:t xml:space="preserve"> </w:t>
      </w:r>
      <w:r>
        <w:t xml:space="preserve">The model says home NAS devices are never sanctioned, yet Tier 2 permits override to any network share, to private-network web addresses, and to relay services. There is no legitimate business case for those overrides, so they serve only as an exfiltration path with a justification field. One override also opens the one-minute window in L12, which a scripted copy can use for many files.</w:t>
      </w:r>
    </w:p>
    <w:p>
      <w:pPr>
        <w:pStyle w:val="BodyText"/>
      </w:pPr>
      <w:r>
        <w:rPr>
          <w:bCs/>
          <w:b/>
        </w:rPr>
        <w:t xml:space="preserve">Recommendation.</w:t>
      </w:r>
      <w:r>
        <w:t xml:space="preserve"> </w:t>
      </w:r>
      <w:r>
        <w:t xml:space="preserve">Apply Block without override for Tier 2 on network shares, the NAS relay services group, and FTP/SFTP. When the corporate share group is empty, every share is unsanctioned anyway. Keep override for genuinely ambiguous internet destinations, and alert on every Tier 2 override.</w:t>
      </w:r>
    </w:p>
    <w:bookmarkEnd w:id="107"/>
    <w:bookmarkStart w:id="108" w:name="X9f05332373c8a913964d6aa77b8a1a59bd24d97"/>
    <w:p>
      <w:pPr>
        <w:pStyle w:val="Heading4"/>
      </w:pPr>
      <w:r>
        <w:t xml:space="preserve">RT-11 Browser and app lists are keyed on names that can be changed (Medium)</w:t>
      </w:r>
    </w:p>
    <w:p>
      <w:pPr>
        <w:pStyle w:val="FirstParagraph"/>
      </w:pPr>
      <w:r>
        <w:rPr>
          <w:bCs/>
          <w:b/>
        </w:rPr>
        <w:t xml:space="preserve">Finding.</w:t>
      </w:r>
      <w:r>
        <w:t xml:space="preserve"> </w:t>
      </w:r>
      <w:r>
        <w:t xml:space="preserve">Unallowed browsers and restricted app groups match on the executable name on Windows and on the path on macOS. A renamed copy of a browser or sync client does not match. A standard user can usually run executables from their profile folder unless application control prevents it.</w:t>
      </w:r>
    </w:p>
    <w:p>
      <w:pPr>
        <w:pStyle w:val="BodyText"/>
      </w:pPr>
      <w:r>
        <w:rPr>
          <w:bCs/>
          <w:b/>
        </w:rPr>
        <w:t xml:space="preserve">Recommendation.</w:t>
      </w:r>
      <w:r>
        <w:t xml:space="preserve"> </w:t>
      </w:r>
      <w:r>
        <w:t xml:space="preserve">Make application control a baseline rather than an option. Allow-list by publisher signature and block execution from user-writable paths. Keep the DLP lists as a second line. Validation: T31.</w:t>
      </w:r>
    </w:p>
    <w:bookmarkEnd w:id="108"/>
    <w:bookmarkStart w:id="109" w:name="Xe166de821a6b374f4acbf3118fa278531a2b424"/>
    <w:p>
      <w:pPr>
        <w:pStyle w:val="Heading4"/>
      </w:pPr>
      <w:r>
        <w:t xml:space="preserve">RT-12 Fail-open states are not modeled (Medium)</w:t>
      </w:r>
    </w:p>
    <w:p>
      <w:pPr>
        <w:pStyle w:val="FirstParagraph"/>
      </w:pPr>
      <w:r>
        <w:rPr>
          <w:bCs/>
          <w:b/>
        </w:rPr>
        <w:t xml:space="preserve">Finding.</w:t>
      </w:r>
      <w:r>
        <w:t xml:space="preserve"> </w:t>
      </w:r>
      <w:r>
        <w:t xml:space="preserve">The document does not say what happens in several failure states. These include an unhealthy Defender or DLP client, policy out of sync, a removed browser extension, a user outside the scoped groups, or a device missing from its device group. They also include a macOS 27 user revoking the Device Control and Data Access permission, which Microsoft documents is possible. Most of these states fail open. Device and device-group scoping on macOS requires client 101.25072 or newer.</w:t>
      </w:r>
    </w:p>
    <w:p>
      <w:pPr>
        <w:pStyle w:val="BodyText"/>
      </w:pPr>
      <w:r>
        <w:rPr>
          <w:bCs/>
          <w:b/>
        </w:rPr>
        <w:t xml:space="preserve">Recommendation.</w:t>
      </w:r>
      <w:r>
        <w:t xml:space="preserve"> </w:t>
      </w:r>
      <w:r>
        <w:t xml:space="preserve">Write a failure-mode table that states, for each control, whether it is meant to fail open or closed. Scope the final ring to all users and all devices. Turn on tamper protection. Set the macOS restricted protection modes to Enforce. Use an Intune compliance policy that marks devices with an unhealthy Defender client or a missing extension as non-compliant, and tie it to Conditional Access. That limits access to new data; it does not stop files already on the device from leaving. Validation: T36.</w:t>
      </w:r>
    </w:p>
    <w:bookmarkEnd w:id="109"/>
    <w:bookmarkStart w:id="110" w:name="Xd52ef182a79f8991749452d94f8af1e7c3e0b05"/>
    <w:p>
      <w:pPr>
        <w:pStyle w:val="Heading4"/>
      </w:pPr>
      <w:r>
        <w:t xml:space="preserve">RT-13 Simulation week 2 is enforcement (Medium)</w:t>
      </w:r>
    </w:p>
    <w:p>
      <w:pPr>
        <w:pStyle w:val="FirstParagraph"/>
      </w:pPr>
      <w:r>
        <w:rPr>
          <w:bCs/>
          <w:b/>
        </w:rPr>
        <w:t xml:space="preserve">Finding.</w:t>
      </w:r>
      <w:r>
        <w:t xml:space="preserve"> </w:t>
      </w:r>
      <w:r>
        <w:t xml:space="preserve">Microsoft documents that, with policy tips shown, a configured Block runs as Block with override during simulation. Phase 3 week 2 is therefore user-impacting enforcement, which v0.2 described as simulation.</w:t>
      </w:r>
    </w:p>
    <w:p>
      <w:pPr>
        <w:pStyle w:val="BodyText"/>
      </w:pPr>
      <w:r>
        <w:rPr>
          <w:bCs/>
          <w:b/>
        </w:rPr>
        <w:t xml:space="preserve">Recommendation.</w:t>
      </w:r>
      <w:r>
        <w:t xml:space="preserve"> </w:t>
      </w:r>
      <w:r>
        <w:t xml:space="preserve">Phase 3 is corrected. The works council agreement and user communication must cover this week as enforcement.</w:t>
      </w:r>
    </w:p>
    <w:bookmarkEnd w:id="110"/>
    <w:bookmarkStart w:id="111" w:name="Xc99accb047b9fd3b48638b060b21e0d42e57fca"/>
    <w:p>
      <w:pPr>
        <w:pStyle w:val="Heading4"/>
      </w:pPr>
      <w:r>
        <w:t xml:space="preserve">RT-14 No volume dimension; insider analytics come too late (Medium)</w:t>
      </w:r>
    </w:p>
    <w:p>
      <w:pPr>
        <w:pStyle w:val="FirstParagraph"/>
      </w:pPr>
      <w:r>
        <w:rPr>
          <w:bCs/>
          <w:b/>
        </w:rPr>
        <w:t xml:space="preserve">Finding.</w:t>
      </w:r>
      <w:r>
        <w:t xml:space="preserve"> </w:t>
      </w:r>
      <w:r>
        <w:t xml:space="preserve">Rules judge one event at a time. Tier 1 is audit-only with no limit, so thousands of internal files copied to a home NAS raise no alert. Sequences such as a downgrade, then an override, then a copy are only visible to Insider Risk Management, which v0.2 deferred until after Phase 5.</w:t>
      </w:r>
    </w:p>
    <w:p>
      <w:pPr>
        <w:pStyle w:val="BodyText"/>
      </w:pPr>
      <w:r>
        <w:rPr>
          <w:bCs/>
          <w:b/>
        </w:rPr>
        <w:t xml:space="preserve">Recommendation.</w:t>
      </w:r>
      <w:r>
        <w:t xml:space="preserve"> </w:t>
      </w:r>
      <w:r>
        <w:t xml:space="preserve">Add volume-threshold alerts on Tier 1 copies to network shares and on Tier 2 overrides. Start Insider Risk Management data theft policies in Phase 4, subject to the works council agreement.</w:t>
      </w:r>
    </w:p>
    <w:bookmarkEnd w:id="111"/>
    <w:bookmarkStart w:id="112" w:name="rt-15-macos-specific-gaps-low-to-medium"/>
    <w:p>
      <w:pPr>
        <w:pStyle w:val="Heading4"/>
      </w:pPr>
      <w:r>
        <w:t xml:space="preserve">RT-15 macOS-specific gaps (Low to medium)</w:t>
      </w:r>
    </w:p>
    <w:p>
      <w:pPr>
        <w:pStyle w:val="FirstParagraph"/>
      </w:pPr>
      <w:r>
        <w:rPr>
          <w:bCs/>
          <w:b/>
        </w:rPr>
        <w:t xml:space="preserve">Finding.</w:t>
      </w:r>
      <w:r>
        <w:t xml:space="preserve"> </w:t>
      </w:r>
      <w:r>
        <w:t xml:space="preserve">Just-in-time protection for offline devices is not supported on macOS, so a file labeled while offline can be copied before evaluation. AirDrop to a personal device is not clearly mapped to any Endpoint DLP activity.</w:t>
      </w:r>
    </w:p>
    <w:p>
      <w:pPr>
        <w:pStyle w:val="BodyText"/>
      </w:pPr>
      <w:r>
        <w:rPr>
          <w:bCs/>
          <w:b/>
        </w:rPr>
        <w:t xml:space="preserve">Recommendation.</w:t>
      </w:r>
      <w:r>
        <w:t xml:space="preserve"> </w:t>
      </w:r>
      <w:r>
        <w:t xml:space="preserve">Restrict AirDrop on managed Macs through MDM, after checking payload support for the macOS versions in use. Apply the host firewall rule for SMB to private ranges on Macs (11.5). Test both in the lab.</w:t>
      </w:r>
    </w:p>
    <w:bookmarkEnd w:id="112"/>
    <w:bookmarkStart w:id="113" w:name="X68d136de6fc7dccd96b4fe1ee6bfe95e4285159"/>
    <w:p>
      <w:pPr>
        <w:pStyle w:val="Heading4"/>
      </w:pPr>
      <w:r>
        <w:t xml:space="preserve">RT-16 Accuracy errors in v0.2 (Low, corrected in v0.3)</w:t>
      </w:r>
    </w:p>
    <w:p>
      <w:pPr>
        <w:numPr>
          <w:ilvl w:val="0"/>
          <w:numId w:val="1023"/>
        </w:numPr>
        <w:pStyle w:val="Compact"/>
      </w:pPr>
      <w:r>
        <w:t xml:space="preserve">Chrome and Firefox on macOS were described as unsupported. They are supported natively (2.3, 4.6, L5).</w:t>
      </w:r>
    </w:p>
    <w:p>
      <w:pPr>
        <w:numPr>
          <w:ilvl w:val="0"/>
          <w:numId w:val="1023"/>
        </w:numPr>
        <w:pStyle w:val="Compact"/>
      </w:pPr>
      <w:r>
        <w:t xml:space="preserve">The Purview scanner was named as the control for data at rest on home NAS devices. It cannot reach home networks (2.2).</w:t>
      </w:r>
    </w:p>
    <w:p>
      <w:pPr>
        <w:numPr>
          <w:ilvl w:val="0"/>
          <w:numId w:val="1023"/>
        </w:numPr>
        <w:pStyle w:val="Compact"/>
      </w:pPr>
      <w:r>
        <w:t xml:space="preserve">UC-08 referred to a deleted group, and to an IP-range group for the paste action, which IP ranges do not support.</w:t>
      </w:r>
    </w:p>
    <w:p>
      <w:pPr>
        <w:numPr>
          <w:ilvl w:val="0"/>
          <w:numId w:val="1023"/>
        </w:numPr>
        <w:pStyle w:val="Compact"/>
      </w:pPr>
      <w:r>
        <w:t xml:space="preserve">KB numbers from 2022 and 2023 were given as current prerequisites (UC-01, 0.3).</w:t>
      </w:r>
    </w:p>
    <w:p>
      <w:pPr>
        <w:numPr>
          <w:ilvl w:val="0"/>
          <w:numId w:val="1023"/>
        </w:numPr>
        <w:pStyle w:val="Compact"/>
      </w:pPr>
      <w:r>
        <w:t xml:space="preserve">The summary said everything outside the lists is denied. That holds only for monitored activities.</w:t>
      </w:r>
    </w:p>
    <w:p>
      <w:pPr>
        <w:numPr>
          <w:ilvl w:val="0"/>
          <w:numId w:val="1023"/>
        </w:numPr>
        <w:pStyle w:val="Compact"/>
      </w:pPr>
      <w:r>
        <w:t xml:space="preserve">UC-12 implied evidence for every Tier 3 event. Microsoft documents gaps for files caught by just-in-time protection and files on network shares, and a 500 MB limit.</w:t>
      </w:r>
    </w:p>
    <w:p>
      <w:pPr>
        <w:numPr>
          <w:ilvl w:val="0"/>
          <w:numId w:val="1023"/>
        </w:numPr>
        <w:pStyle w:val="Compact"/>
      </w:pPr>
      <w:r>
        <w:t xml:space="preserve">Phase 6 referred to adding NAS devices to allow lists.</w:t>
      </w:r>
    </w:p>
    <w:p>
      <w:pPr>
        <w:numPr>
          <w:ilvl w:val="0"/>
          <w:numId w:val="1023"/>
        </w:numPr>
        <w:pStyle w:val="Compact"/>
      </w:pPr>
      <w:r>
        <w:t xml:space="preserve">Section 11.1 overstated what a domain block achieves against relay services that can connect directly.</w:t>
      </w:r>
    </w:p>
    <w:bookmarkEnd w:id="113"/>
    <w:bookmarkEnd w:id="114"/>
    <w:bookmarkStart w:id="115" w:name="a5-what-holds-up"/>
    <w:p>
      <w:pPr>
        <w:pStyle w:val="Heading3"/>
      </w:pPr>
      <w:r>
        <w:t xml:space="preserve">A.5 What holds up</w:t>
      </w:r>
    </w:p>
    <w:p>
      <w:pPr>
        <w:numPr>
          <w:ilvl w:val="0"/>
          <w:numId w:val="1024"/>
        </w:numPr>
        <w:pStyle w:val="Compact"/>
      </w:pPr>
      <w:r>
        <w:t xml:space="preserve">The deny-by-default structure for network shares and browser uploads is correct, and so is the decision not to enumerate home NAS devices.</w:t>
      </w:r>
    </w:p>
    <w:p>
      <w:pPr>
        <w:numPr>
          <w:ilvl w:val="0"/>
          <w:numId w:val="1024"/>
        </w:numPr>
        <w:pStyle w:val="Compact"/>
      </w:pPr>
      <w:r>
        <w:t xml:space="preserve">Keeping the corporate share allow list empty is the strongest single design choice in the document. It removes RT-07 entirely and most of RT-08.</w:t>
      </w:r>
    </w:p>
    <w:p>
      <w:pPr>
        <w:numPr>
          <w:ilvl w:val="0"/>
          <w:numId w:val="1024"/>
        </w:numPr>
        <w:pStyle w:val="Compact"/>
      </w:pPr>
      <w:r>
        <w:t xml:space="preserve">Service domains in Allow mode is the right setting for a population that only needs Microsoft 365.</w:t>
      </w:r>
    </w:p>
    <w:p>
      <w:pPr>
        <w:numPr>
          <w:ilvl w:val="0"/>
          <w:numId w:val="1024"/>
        </w:numPr>
        <w:pStyle w:val="Compact"/>
      </w:pPr>
      <w:r>
        <w:t xml:space="preserve">Relay services, NAS sync clients, and backup agents are treated explicitly, and the Time Machine gap is correctly identified as a device-management problem rather than a DLP problem.</w:t>
      </w:r>
    </w:p>
    <w:p>
      <w:pPr>
        <w:numPr>
          <w:ilvl w:val="0"/>
          <w:numId w:val="1024"/>
        </w:numPr>
        <w:pStyle w:val="Compact"/>
      </w:pPr>
      <w:r>
        <w:t xml:space="preserve">The works council and GDPR dependency is raised before simulation, not after.</w:t>
      </w:r>
    </w:p>
    <w:p>
      <w:pPr>
        <w:numPr>
          <w:ilvl w:val="0"/>
          <w:numId w:val="1024"/>
        </w:numPr>
        <w:pStyle w:val="Compact"/>
      </w:pPr>
      <w:r>
        <w:t xml:space="preserve">Confidence grades are mostly honest. The exceptions are corrected above.</w:t>
      </w:r>
    </w:p>
    <w:bookmarkEnd w:id="115"/>
    <w:bookmarkStart w:id="116" w:name="a6-accepted-blind-spots"/>
    <w:p>
      <w:pPr>
        <w:pStyle w:val="Heading3"/>
      </w:pPr>
      <w:r>
        <w:t xml:space="preserve">A.6 Accepted blind spots</w:t>
      </w:r>
    </w:p>
    <w:p>
      <w:pPr>
        <w:numPr>
          <w:ilvl w:val="0"/>
          <w:numId w:val="1025"/>
        </w:numPr>
        <w:pStyle w:val="Compact"/>
      </w:pPr>
      <w:r>
        <w:t xml:space="preserve">Copies that reached home NAS devices before rollout. No technical control can reach them. They need an HR and attestation process.</w:t>
      </w:r>
    </w:p>
    <w:p>
      <w:pPr>
        <w:numPr>
          <w:ilvl w:val="0"/>
          <w:numId w:val="1025"/>
        </w:numPr>
        <w:pStyle w:val="Compact"/>
      </w:pPr>
      <w:r>
        <w:t xml:space="preserve">Photographs of the screen, retyping, and reading aloud (L10).</w:t>
      </w:r>
    </w:p>
    <w:p>
      <w:pPr>
        <w:numPr>
          <w:ilvl w:val="0"/>
          <w:numId w:val="1025"/>
        </w:numPr>
        <w:pStyle w:val="Compact"/>
      </w:pPr>
      <w:r>
        <w:t xml:space="preserve">Anything that has leaked can be read by personal devices on the home network (L20). RT-06 is the only control that changes this outcome.</w:t>
      </w:r>
    </w:p>
    <w:bookmarkEnd w:id="116"/>
    <w:bookmarkStart w:id="117" w:name="a7-recommended-order-of-work"/>
    <w:p>
      <w:pPr>
        <w:pStyle w:val="Heading3"/>
      </w:pPr>
      <w:r>
        <w:t xml:space="preserve">A.7 Recommended order of work</w:t>
      </w:r>
    </w:p>
    <w:p>
      <w:pPr>
        <w:numPr>
          <w:ilvl w:val="0"/>
          <w:numId w:val="1026"/>
        </w:numPr>
        <w:pStyle w:val="Compact"/>
      </w:pPr>
      <w:r>
        <w:rPr>
          <w:bCs/>
          <w:b/>
        </w:rPr>
        <w:t xml:space="preserve">Before Phase 3:</w:t>
      </w:r>
      <w:r>
        <w:t xml:space="preserve"> </w:t>
      </w:r>
      <w:r>
        <w:t xml:space="preserve">RT-01, RT-02, RT-04, and RT-07 if any allow-list entry is kept. RT-13 is already corrected.</w:t>
      </w:r>
    </w:p>
    <w:p>
      <w:pPr>
        <w:numPr>
          <w:ilvl w:val="0"/>
          <w:numId w:val="1026"/>
        </w:numPr>
        <w:pStyle w:val="Compact"/>
      </w:pPr>
      <w:r>
        <w:rPr>
          <w:bCs/>
          <w:b/>
        </w:rPr>
        <w:t xml:space="preserve">Before Phase 5 Ring 2:</w:t>
      </w:r>
      <w:r>
        <w:t xml:space="preserve"> </w:t>
      </w:r>
      <w:r>
        <w:t xml:space="preserve">RT-03, RT-05, RT-06, RT-09, RT-10, RT-11, RT-12. The red-team cases T25 to T37 must pass or carry a signed risk acceptance.</w:t>
      </w:r>
    </w:p>
    <w:p>
      <w:pPr>
        <w:numPr>
          <w:ilvl w:val="0"/>
          <w:numId w:val="1026"/>
        </w:numPr>
        <w:pStyle w:val="Compact"/>
      </w:pPr>
      <w:r>
        <w:rPr>
          <w:bCs/>
          <w:b/>
        </w:rPr>
        <w:t xml:space="preserve">Operating model, from Phase 4:</w:t>
      </w:r>
      <w:r>
        <w:t xml:space="preserve"> </w:t>
      </w:r>
      <w:r>
        <w:t xml:space="preserve">RT-08 governance, RT-14 volume alerts and Insider Risk Management, RT-15 lab tests.</w:t>
      </w:r>
    </w:p>
    <w:bookmarkEnd w:id="117"/>
    <w:bookmarkStart w:id="124" w:name="X88ef738701643f8bde57f055a29b3535651c212"/>
    <w:p>
      <w:pPr>
        <w:pStyle w:val="Heading3"/>
      </w:pPr>
      <w:r>
        <w:t xml:space="preserve">A.8 Additional references (Microsoft Learn, accessed 2026-10-23)</w:t>
      </w:r>
    </w:p>
    <w:p>
      <w:pPr>
        <w:numPr>
          <w:ilvl w:val="0"/>
          <w:numId w:val="1027"/>
        </w:numPr>
        <w:pStyle w:val="Compact"/>
      </w:pPr>
      <w:r>
        <w:t xml:space="preserve">DLP policy reference, rule precedence and simulation runtime actions:</w:t>
      </w:r>
      <w:r>
        <w:t xml:space="preserve"> </w:t>
      </w:r>
      <w:hyperlink r:id="rId73">
        <w:r>
          <w:rPr>
            <w:rStyle w:val="Hyperlink"/>
          </w:rPr>
          <w:t xml:space="preserve">https://learn.microsoft.com/purview/dlp-policy-reference</w:t>
        </w:r>
      </w:hyperlink>
    </w:p>
    <w:p>
      <w:pPr>
        <w:numPr>
          <w:ilvl w:val="0"/>
          <w:numId w:val="1027"/>
        </w:numPr>
        <w:pStyle w:val="Compact"/>
      </w:pPr>
      <w:r>
        <w:t xml:space="preserve">Set up tenant restrictions v2:</w:t>
      </w:r>
      <w:r>
        <w:t xml:space="preserve"> </w:t>
      </w:r>
      <w:hyperlink r:id="rId118">
        <w:r>
          <w:rPr>
            <w:rStyle w:val="Hyperlink"/>
          </w:rPr>
          <w:t xml:space="preserve">https://learn.microsoft.com/entra/external-id/tenant-restrictions-v2</w:t>
        </w:r>
      </w:hyperlink>
    </w:p>
    <w:p>
      <w:pPr>
        <w:numPr>
          <w:ilvl w:val="0"/>
          <w:numId w:val="1027"/>
        </w:numPr>
        <w:pStyle w:val="Compact"/>
      </w:pPr>
      <w:r>
        <w:t xml:space="preserve">Universal tenant restrictions with Global Secure Access:</w:t>
      </w:r>
      <w:r>
        <w:t xml:space="preserve"> </w:t>
      </w:r>
      <w:hyperlink r:id="rId119">
        <w:r>
          <w:rPr>
            <w:rStyle w:val="Hyperlink"/>
          </w:rPr>
          <w:t xml:space="preserve">https://learn.microsoft.com/entra/global-secure-access/tutorial-microsoft-traffic-tenant-restrictions</w:t>
        </w:r>
      </w:hyperlink>
    </w:p>
    <w:p>
      <w:pPr>
        <w:numPr>
          <w:ilvl w:val="0"/>
          <w:numId w:val="1027"/>
        </w:numPr>
        <w:pStyle w:val="Compact"/>
      </w:pPr>
      <w:r>
        <w:t xml:space="preserve">OneDrive sync policies, AllowTenantList and DisablePersonalSync:</w:t>
      </w:r>
      <w:r>
        <w:t xml:space="preserve"> </w:t>
      </w:r>
      <w:hyperlink r:id="rId120">
        <w:r>
          <w:rPr>
            <w:rStyle w:val="Hyperlink"/>
          </w:rPr>
          <w:t xml:space="preserve">https://learn.microsoft.com/sharepoint/use-group-policy</w:t>
        </w:r>
      </w:hyperlink>
    </w:p>
    <w:p>
      <w:pPr>
        <w:numPr>
          <w:ilvl w:val="0"/>
          <w:numId w:val="1027"/>
        </w:numPr>
        <w:pStyle w:val="Compact"/>
      </w:pPr>
      <w:r>
        <w:t xml:space="preserve">Restrict access to content by using sensitivity labels to apply encryption:</w:t>
      </w:r>
      <w:r>
        <w:t xml:space="preserve"> </w:t>
      </w:r>
      <w:hyperlink r:id="rId121">
        <w:r>
          <w:rPr>
            <w:rStyle w:val="Hyperlink"/>
          </w:rPr>
          <w:t xml:space="preserve">https://learn.microsoft.com/purview/encryption-sensitivity-labels</w:t>
        </w:r>
      </w:hyperlink>
    </w:p>
    <w:p>
      <w:pPr>
        <w:numPr>
          <w:ilvl w:val="0"/>
          <w:numId w:val="1027"/>
        </w:numPr>
        <w:pStyle w:val="Compact"/>
      </w:pPr>
      <w:r>
        <w:t xml:space="preserve">Usage rights and the EXTRACT right:</w:t>
      </w:r>
      <w:r>
        <w:t xml:space="preserve"> </w:t>
      </w:r>
      <w:hyperlink r:id="rId122">
        <w:r>
          <w:rPr>
            <w:rStyle w:val="Hyperlink"/>
          </w:rPr>
          <w:t xml:space="preserve">https://learn.microsoft.com/purview/ai-m365-copilot-considerations</w:t>
        </w:r>
      </w:hyperlink>
    </w:p>
    <w:p>
      <w:pPr>
        <w:numPr>
          <w:ilvl w:val="0"/>
          <w:numId w:val="1027"/>
        </w:numPr>
        <w:pStyle w:val="Compact"/>
      </w:pPr>
      <w:r>
        <w:t xml:space="preserve">SharePoint and OneDrive unmanaged device access controls:</w:t>
      </w:r>
      <w:r>
        <w:t xml:space="preserve"> </w:t>
      </w:r>
      <w:hyperlink r:id="rId123">
        <w:r>
          <w:rPr>
            <w:rStyle w:val="Hyperlink"/>
          </w:rPr>
          <w:t xml:space="preserve">https://learn.microsoft.com/sharepoint/control-access-from-unmanaged-devices</w:t>
        </w:r>
      </w:hyperlink>
    </w:p>
    <w:p>
      <w:pPr>
        <w:numPr>
          <w:ilvl w:val="0"/>
          <w:numId w:val="1027"/>
        </w:numPr>
        <w:pStyle w:val="Compact"/>
      </w:pPr>
      <w:r>
        <w:t xml:space="preserve">Evidence collection known issues:</w:t>
      </w:r>
      <w:r>
        <w:t xml:space="preserve"> </w:t>
      </w:r>
      <w:hyperlink r:id="rId85">
        <w:r>
          <w:rPr>
            <w:rStyle w:val="Hyperlink"/>
          </w:rPr>
          <w:t xml:space="preserve">https://learn.microsoft.com/purview/dlp-copy-matched-items-get-started</w:t>
        </w:r>
      </w:hyperlink>
    </w:p>
    <w:bookmarkEnd w:id="124"/>
    <w:bookmarkEnd w:id="125"/>
    <w:sectPr>
      <w:footerReference w:type="default" r:id="rId9"/>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Purview Endpoint DLP use cases and implementation plan  |  Draft v0.3  |  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9" Type="http://schemas.openxmlformats.org/officeDocument/2006/relationships/hyperlink" Target="https://learn.microsoft.com/defender-cloud-apps/governance-discovery" TargetMode="External"/><Relationship Id="rId88" Type="http://schemas.openxmlformats.org/officeDocument/2006/relationships/hyperlink" Target="https://learn.microsoft.com/defender-cloud-apps/mde-govern" TargetMode="External"/><Relationship Id="rId90" Type="http://schemas.openxmlformats.org/officeDocument/2006/relationships/hyperlink" Target="https://learn.microsoft.com/defender-cloud-apps/session-policy-aad" TargetMode="External"/><Relationship Id="rId91" Type="http://schemas.openxmlformats.org/officeDocument/2006/relationships/hyperlink" Target="https://learn.microsoft.com/deployedge/microsoft-edge-management-protected-clipboard" TargetMode="External"/><Relationship Id="rId118" Type="http://schemas.openxmlformats.org/officeDocument/2006/relationships/hyperlink" Target="https://learn.microsoft.com/entra/external-id/tenant-restrictions-v2" TargetMode="External"/><Relationship Id="rId119" Type="http://schemas.openxmlformats.org/officeDocument/2006/relationships/hyperlink" Target="https://learn.microsoft.com/entra/global-secure-access/tutorial-microsoft-traffic-tenant-restrictions" TargetMode="External"/><Relationship Id="rId122" Type="http://schemas.openxmlformats.org/officeDocument/2006/relationships/hyperlink" Target="https://learn.microsoft.com/purview/ai-m365-copilot-considerations" TargetMode="External"/><Relationship Id="rId86" Type="http://schemas.openxmlformats.org/officeDocument/2006/relationships/hyperlink" Target="https://learn.microsoft.com/purview/device-onboarding-macos-overview" TargetMode="External"/><Relationship Id="rId72" Type="http://schemas.openxmlformats.org/officeDocument/2006/relationships/hyperlink" Target="https://learn.microsoft.com/purview/dlp-configure-endpoint-settings" TargetMode="External"/><Relationship Id="rId85" Type="http://schemas.openxmlformats.org/officeDocument/2006/relationships/hyperlink" Target="https://learn.microsoft.com/purview/dlp-copy-matched-items-get-started" TargetMode="External"/><Relationship Id="rId84" Type="http://schemas.openxmlformats.org/officeDocument/2006/relationships/hyperlink" Target="https://learn.microsoft.com/purview/dlp-create-deploy-policy" TargetMode="External"/><Relationship Id="rId78" Type="http://schemas.openxmlformats.org/officeDocument/2006/relationships/hyperlink" Target="https://learn.microsoft.com/purview/dlp-create-policy-files-edlp-doesnt-scan" TargetMode="External"/><Relationship Id="rId92" Type="http://schemas.openxmlformats.org/officeDocument/2006/relationships/hyperlink" Target="https://learn.microsoft.com/purview/dlp-network-data-security-learn" TargetMode="External"/><Relationship Id="rId73" Type="http://schemas.openxmlformats.org/officeDocument/2006/relationships/hyperlink" Target="https://learn.microsoft.com/purview/dlp-policy-reference" TargetMode="External"/><Relationship Id="rId83" Type="http://schemas.openxmlformats.org/officeDocument/2006/relationships/hyperlink" Target="https://learn.microsoft.com/purview/dlp-simulation-mode-learn" TargetMode="External"/><Relationship Id="rId121" Type="http://schemas.openxmlformats.org/officeDocument/2006/relationships/hyperlink" Target="https://learn.microsoft.com/purview/encryption-sensitivity-labels" TargetMode="External"/><Relationship Id="rId77" Type="http://schemas.openxmlformats.org/officeDocument/2006/relationships/hyperlink" Target="https://learn.microsoft.com/purview/endpoint-dlp-create-policy-auto-quarantine-for-onedrive" TargetMode="External"/><Relationship Id="rId82" Type="http://schemas.openxmlformats.org/officeDocument/2006/relationships/hyperlink" Target="https://learn.microsoft.com/purview/endpoint-dlp-create-policy-file-activities-using-network-exceptions" TargetMode="External"/><Relationship Id="rId75" Type="http://schemas.openxmlformats.org/officeDocument/2006/relationships/hyperlink" Target="https://learn.microsoft.com/purview/endpoint-dlp-create-policy-restrict-access-to-domains" TargetMode="External"/><Relationship Id="rId76" Type="http://schemas.openxmlformats.org/officeDocument/2006/relationships/hyperlink" Target="https://learn.microsoft.com/purview/endpoint-dlp-create-policy-restrict-paste-in-browsers" TargetMode="External"/><Relationship Id="rId74" Type="http://schemas.openxmlformats.org/officeDocument/2006/relationships/hyperlink" Target="https://learn.microsoft.com/purview/endpoint-dlp-create-policy-unauthorized-cloud-apps-services" TargetMode="External"/><Relationship Id="rId79" Type="http://schemas.openxmlformats.org/officeDocument/2006/relationships/hyperlink" Target="https://learn.microsoft.com/purview/endpoint-dlp-ftp-sftp-short" TargetMode="External"/><Relationship Id="rId81" Type="http://schemas.openxmlformats.org/officeDocument/2006/relationships/hyperlink" Target="https://learn.microsoft.com/purview/endpoint-dlp-get-started-jit" TargetMode="External"/><Relationship Id="rId71" Type="http://schemas.openxmlformats.org/officeDocument/2006/relationships/hyperlink" Target="https://learn.microsoft.com/purview/endpoint-dlp-learn-about" TargetMode="External"/><Relationship Id="rId80" Type="http://schemas.openxmlformats.org/officeDocument/2006/relationships/hyperlink" Target="https://learn.microsoft.com/purview/endpoint-dlp-learn-about-jit" TargetMode="External"/><Relationship Id="rId87" Type="http://schemas.openxmlformats.org/officeDocument/2006/relationships/hyperlink" Target="https://learn.microsoft.com/purview/endpoint-dlp-macos-27-changes" TargetMode="External"/><Relationship Id="rId123" Type="http://schemas.openxmlformats.org/officeDocument/2006/relationships/hyperlink" Target="https://learn.microsoft.com/sharepoint/control-access-from-unmanaged-devices" TargetMode="External"/><Relationship Id="rId120" Type="http://schemas.openxmlformats.org/officeDocument/2006/relationships/hyperlink" Target="https://learn.microsoft.com/sharepoint/use-group-policy" TargetMode="External"/><Relationship Id="rId93" Type="http://schemas.openxmlformats.org/officeDocument/2006/relationships/hyperlink" Target="https://learn.microsoft.com/troubleshoot/microsoft-365/purview/data-loss-prevention/diagnose-paste-to-supported-browser-issu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9" Type="http://schemas.openxmlformats.org/officeDocument/2006/relationships/hyperlink" Target="https://learn.microsoft.com/defender-cloud-apps/governance-discovery" TargetMode="External"/><Relationship Id="rId88" Type="http://schemas.openxmlformats.org/officeDocument/2006/relationships/hyperlink" Target="https://learn.microsoft.com/defender-cloud-apps/mde-govern" TargetMode="External"/><Relationship Id="rId90" Type="http://schemas.openxmlformats.org/officeDocument/2006/relationships/hyperlink" Target="https://learn.microsoft.com/defender-cloud-apps/session-policy-aad" TargetMode="External"/><Relationship Id="rId91" Type="http://schemas.openxmlformats.org/officeDocument/2006/relationships/hyperlink" Target="https://learn.microsoft.com/deployedge/microsoft-edge-management-protected-clipboard" TargetMode="External"/><Relationship Id="rId118" Type="http://schemas.openxmlformats.org/officeDocument/2006/relationships/hyperlink" Target="https://learn.microsoft.com/entra/external-id/tenant-restrictions-v2" TargetMode="External"/><Relationship Id="rId119" Type="http://schemas.openxmlformats.org/officeDocument/2006/relationships/hyperlink" Target="https://learn.microsoft.com/entra/global-secure-access/tutorial-microsoft-traffic-tenant-restrictions" TargetMode="External"/><Relationship Id="rId122" Type="http://schemas.openxmlformats.org/officeDocument/2006/relationships/hyperlink" Target="https://learn.microsoft.com/purview/ai-m365-copilot-considerations" TargetMode="External"/><Relationship Id="rId86" Type="http://schemas.openxmlformats.org/officeDocument/2006/relationships/hyperlink" Target="https://learn.microsoft.com/purview/device-onboarding-macos-overview" TargetMode="External"/><Relationship Id="rId72" Type="http://schemas.openxmlformats.org/officeDocument/2006/relationships/hyperlink" Target="https://learn.microsoft.com/purview/dlp-configure-endpoint-settings" TargetMode="External"/><Relationship Id="rId85" Type="http://schemas.openxmlformats.org/officeDocument/2006/relationships/hyperlink" Target="https://learn.microsoft.com/purview/dlp-copy-matched-items-get-started" TargetMode="External"/><Relationship Id="rId84" Type="http://schemas.openxmlformats.org/officeDocument/2006/relationships/hyperlink" Target="https://learn.microsoft.com/purview/dlp-create-deploy-policy" TargetMode="External"/><Relationship Id="rId78" Type="http://schemas.openxmlformats.org/officeDocument/2006/relationships/hyperlink" Target="https://learn.microsoft.com/purview/dlp-create-policy-files-edlp-doesnt-scan" TargetMode="External"/><Relationship Id="rId92" Type="http://schemas.openxmlformats.org/officeDocument/2006/relationships/hyperlink" Target="https://learn.microsoft.com/purview/dlp-network-data-security-learn" TargetMode="External"/><Relationship Id="rId73" Type="http://schemas.openxmlformats.org/officeDocument/2006/relationships/hyperlink" Target="https://learn.microsoft.com/purview/dlp-policy-reference" TargetMode="External"/><Relationship Id="rId83" Type="http://schemas.openxmlformats.org/officeDocument/2006/relationships/hyperlink" Target="https://learn.microsoft.com/purview/dlp-simulation-mode-learn" TargetMode="External"/><Relationship Id="rId121" Type="http://schemas.openxmlformats.org/officeDocument/2006/relationships/hyperlink" Target="https://learn.microsoft.com/purview/encryption-sensitivity-labels" TargetMode="External"/><Relationship Id="rId77" Type="http://schemas.openxmlformats.org/officeDocument/2006/relationships/hyperlink" Target="https://learn.microsoft.com/purview/endpoint-dlp-create-policy-auto-quarantine-for-onedrive" TargetMode="External"/><Relationship Id="rId82" Type="http://schemas.openxmlformats.org/officeDocument/2006/relationships/hyperlink" Target="https://learn.microsoft.com/purview/endpoint-dlp-create-policy-file-activities-using-network-exceptions" TargetMode="External"/><Relationship Id="rId75" Type="http://schemas.openxmlformats.org/officeDocument/2006/relationships/hyperlink" Target="https://learn.microsoft.com/purview/endpoint-dlp-create-policy-restrict-access-to-domains" TargetMode="External"/><Relationship Id="rId76" Type="http://schemas.openxmlformats.org/officeDocument/2006/relationships/hyperlink" Target="https://learn.microsoft.com/purview/endpoint-dlp-create-policy-restrict-paste-in-browsers" TargetMode="External"/><Relationship Id="rId74" Type="http://schemas.openxmlformats.org/officeDocument/2006/relationships/hyperlink" Target="https://learn.microsoft.com/purview/endpoint-dlp-create-policy-unauthorized-cloud-apps-services" TargetMode="External"/><Relationship Id="rId79" Type="http://schemas.openxmlformats.org/officeDocument/2006/relationships/hyperlink" Target="https://learn.microsoft.com/purview/endpoint-dlp-ftp-sftp-short" TargetMode="External"/><Relationship Id="rId81" Type="http://schemas.openxmlformats.org/officeDocument/2006/relationships/hyperlink" Target="https://learn.microsoft.com/purview/endpoint-dlp-get-started-jit" TargetMode="External"/><Relationship Id="rId71" Type="http://schemas.openxmlformats.org/officeDocument/2006/relationships/hyperlink" Target="https://learn.microsoft.com/purview/endpoint-dlp-learn-about" TargetMode="External"/><Relationship Id="rId80" Type="http://schemas.openxmlformats.org/officeDocument/2006/relationships/hyperlink" Target="https://learn.microsoft.com/purview/endpoint-dlp-learn-about-jit" TargetMode="External"/><Relationship Id="rId87" Type="http://schemas.openxmlformats.org/officeDocument/2006/relationships/hyperlink" Target="https://learn.microsoft.com/purview/endpoint-dlp-macos-27-changes" TargetMode="External"/><Relationship Id="rId123" Type="http://schemas.openxmlformats.org/officeDocument/2006/relationships/hyperlink" Target="https://learn.microsoft.com/sharepoint/control-access-from-unmanaged-devices" TargetMode="External"/><Relationship Id="rId120" Type="http://schemas.openxmlformats.org/officeDocument/2006/relationships/hyperlink" Target="https://learn.microsoft.com/sharepoint/use-group-policy" TargetMode="External"/><Relationship Id="rId93" Type="http://schemas.openxmlformats.org/officeDocument/2006/relationships/hyperlink" Target="https://learn.microsoft.com/troubleshoot/microsoft-365/purview/data-loss-prevention/diagnose-paste-to-supported-browser-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Purview Endpoint DLP: Preventing Copy/Paste and Upload of Labeled Data to Unsanctioned Storage</dc:title>
  <dc:creator/>
  <cp:keywords/>
  <dcterms:created xsi:type="dcterms:W3CDTF">2026-10-23T19:49:13Z</dcterms:created>
  <dcterms:modified xsi:type="dcterms:W3CDTF">2026-10-23T19:49:13Z</dcterms:modified>
</cp:coreProperties>
</file>

<file path=docProps/custom.xml><?xml version="1.0" encoding="utf-8"?>
<Properties xmlns="http://schemas.openxmlformats.org/officeDocument/2006/custom-properties" xmlns:vt="http://schemas.openxmlformats.org/officeDocument/2006/docPropsVTypes"/>
</file>