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01.01 du projet</w:t>
      </w:r>
    </w:p>
    <w:p w14:paraId="508365E9" w14:textId="77777777" w:rsidR="005E0813" w:rsidRDefault="00CB4AEF" w:rsidP="00CB4AEF">
      <w:pPr>
        <w:sectPr w:rsidR="005E0813" w:rsidSect="00CB4AEF">
          <w:headerReference w:type="default" r:id="rId8"/>
          <w:footerReference w:type="default" r:id="rId9"/>
          <w:pgSz w:w="11906" w:h="16838"/>
          <w:pgMar w:top="1418" w:right="1418" w:bottom="1418" w:left="1418"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162FC5">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162FC5">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162FC5">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162FC5">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162FC5">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162FC5">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162FC5">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162FC5">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162FC5">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162FC5">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162FC5">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162FC5">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162FC5">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162FC5">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162FC5">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162FC5">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162FC5">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162FC5">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162FC5">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162FC5">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162FC5">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162FC5">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162FC5">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162FC5">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162FC5">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162FC5">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162FC5">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162FC5">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162FC5">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162FC5">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162FC5">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162FC5">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162FC5">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162FC5">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162FC5">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162FC5">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162FC5">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162FC5">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162FC5">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162FC5">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162FC5">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162FC5">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162FC5">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162FC5">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162FC5">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162FC5">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162FC5">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162FC5">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162FC5">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162FC5">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162FC5">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162FC5">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162FC5">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162FC5">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162FC5">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162FC5">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162FC5">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162FC5">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162FC5">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162FC5">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162FC5">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162FC5">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162FC5">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162FC5">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162FC5">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162FC5">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0"/>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Poste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Écriture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1.a Cadrer l’étude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1.c Événements redoutés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1.d Le socle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bl>
    <w:p w14:paraId="4987C6C4" w14:textId="77777777" w:rsidR="0075445A" w:rsidRDefault="00EA3A3C" w:rsidP="00EA3A3C">
      <w:pPr>
        <w:pStyle w:val="Lgende"/>
        <w:jc w:val="center"/>
      </w:pPr>
      <w:bookmarkStart w:id="10" w:name="_Toc72425099"/>
      <w:r>
        <w:t xml:space="preserve">Tableau </w:t>
      </w:r>
      <w:r w:rsidR="00162FC5">
        <w:fldChar w:fldCharType="begin"/>
      </w:r>
      <w:r w:rsidR="00162FC5">
        <w:instrText xml:space="preserve"> SEQ Tableau \* ARABIC </w:instrText>
      </w:r>
      <w:r w:rsidR="00162FC5">
        <w:fldChar w:fldCharType="separate"/>
      </w:r>
      <w:r w:rsidR="00E5663A">
        <w:rPr>
          <w:noProof/>
        </w:rPr>
        <w:t>2</w:t>
      </w:r>
      <w:r w:rsidR="00162FC5">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Nature</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Information</w:t>
            </w:r>
          </w:p>
        </w:tc>
        <w:tc>
          <w:tcPr>
            <w:tcW w:w="1" w:type="dxa"/>
            <w:vAlign w:val="center"/>
            <w:shd w:val="clear" w:fill="white"/>
          </w:tcPr>
          <w:p>
            <w:pPr/>
            <w:r>
              <w:rPr/>
              <w:t xml:space="preserve">Mot de passe que le coffre fort doit stocker</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Information</w:t>
            </w:r>
          </w:p>
        </w:tc>
        <w:tc>
          <w:tcPr>
            <w:tcW w:w="1" w:type="dxa"/>
            <w:vAlign w:val="center"/>
            <w:shd w:val="clear" w:fill="white"/>
          </w:tcPr>
          <w:p>
            <w:pPr/>
            <w:r>
              <w:rPr/>
              <w:t xml:space="preserve">Mot de passe permettant de déverouiller le coffre fort de mot de passe.</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Information</w:t>
            </w:r>
          </w:p>
        </w:tc>
        <w:tc>
          <w:tcPr>
            <w:tcW w:w="1" w:type="dxa"/>
            <w:vAlign w:val="center"/>
            <w:shd w:val="clear" w:fill="white"/>
          </w:tcPr>
          <w:p>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3</w:t>
      </w:r>
      <w:r w:rsidR="00162FC5">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Memoire Flash</w:t>
            </w:r>
          </w:p>
        </w:tc>
        <w:tc>
          <w:tcPr>
            <w:tcW w:w="1" w:type="dxa"/>
            <w:vAlign w:val="center"/>
            <w:shd w:val="clear" w:fill="white"/>
          </w:tcPr>
          <w:p>
            <w:pPr/>
            <w:r>
              <w:rPr/>
              <w:t xml:space="preserve">Mémoire Flash permettant de stocker les données non confidentielles</w:t>
            </w:r>
          </w:p>
        </w:tc>
      </w:tr>
      <w:tr>
        <w:trPr/>
        <w:tc>
          <w:tcPr>
            <w:tcW w:w="1" w:type="dxa"/>
            <w:vAlign w:val="center"/>
            <w:shd w:val="clear" w:fill="white"/>
          </w:tcPr>
          <w:p>
            <w:pPr/>
            <w:r>
              <w:rPr/>
              <w:t xml:space="preserve">Mémoire RAM</w:t>
            </w:r>
          </w:p>
        </w:tc>
        <w:tc>
          <w:tcPr>
            <w:tcW w:w="1" w:type="dxa"/>
            <w:vAlign w:val="center"/>
            <w:shd w:val="clear" w:fill="white"/>
          </w:tcPr>
          <w:p>
            <w:pPr/>
            <w:r>
              <w:rPr/>
              <w:t xml:space="preserve">Mémoire RAM de travail du processeur</w:t>
            </w:r>
          </w:p>
        </w:tc>
      </w:tr>
    </w:tbl>
    <w:p w14:paraId="6D31C699" w14:textId="7FD07125"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4</w:t>
      </w:r>
      <w:r w:rsidR="00162FC5">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la mission</w:t>
            </w:r>
          </w:p>
        </w:tc>
        <w:tc>
          <w:tcPr>
            <w:tcW w:w="1" w:type="dxa"/>
            <w:vAlign w:val="center"/>
            <w:shd w:val="clear" w:fill="#DCDCDC"/>
          </w:tcPr>
          <w:p>
            <w:pPr/>
            <w:r>
              <w:rPr>
                <w:b w:val="1"/>
                <w:bCs w:val="1"/>
              </w:rPr>
              <w:t xml:space="preserve">Description de la mission</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Responsable de la valeur métier</w:t>
            </w:r>
          </w:p>
        </w:tc>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Responsable du bien support</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Démarrage sécurisé</w:t>
            </w:r>
          </w:p>
        </w:tc>
        <w:tc>
          <w:tcPr>
            <w:tcW w:w="1" w:type="dxa"/>
            <w:vAlign w:val="center"/>
            <w:shd w:val="clear" w:fill="white"/>
          </w:tcPr>
          <w:p>
            <w:pPr/>
            <w:r>
              <w:rPr/>
              <w:t xml:space="preserve">Le coffre fort vérifie que son logiciel est authentique avant de s'executer</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bl>
    <w:p w14:paraId="3A0E8D63" w14:textId="77777777" w:rsidR="00AB6C77" w:rsidRDefault="00AB6C77" w:rsidP="00AB6C7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5</w:t>
      </w:r>
      <w:r w:rsidR="00162FC5">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Échelle de gravité</w:t>
            </w:r>
          </w:p>
        </w:tc>
      </w:tr>
      <w:tr>
        <w:trPr/>
        <w:tc>
          <w:tcPr>
            <w:tcW w:w="1" w:type="dxa"/>
            <w:vAlign w:val="center"/>
            <w:shd w:val="clear" w:fill="white"/>
          </w:tcPr>
          <w:p>
            <w:pPr/>
            <w:r>
              <w:rPr/>
              <w:t xml:space="preserve">EchelleDeGravité</w:t>
            </w:r>
          </w:p>
        </w:tc>
        <w:tc>
          <w:tcPr>
            <w:tcW w:w="1" w:type="dxa"/>
            <w:vAlign w:val="center"/>
            <w:shd w:val="clear" w:fill="white"/>
          </w:tcPr>
          <w:p>
            <w:pPr/>
            <w:r>
              <w:rPr/>
              <w:t xml:space="preserve">5</w:t>
            </w:r>
          </w:p>
        </w:tc>
      </w:tr>
    </w:tbl>
    <w:p w14:paraId="112F687E" w14:textId="77777777" w:rsidR="00475B37" w:rsidRDefault="00475B37" w:rsidP="00475B3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6</w:t>
      </w:r>
      <w:r w:rsidR="00162FC5">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113B069" w14:textId="5E22D493" w:rsidR="00CB21A1" w:rsidRDefault="00475B37" w:rsidP="00475B37">
      <w:pPr>
        <w:pStyle w:val="Lgende"/>
        <w:jc w:val="center"/>
        <w:rPr>
          <w:color w:val="FF0000"/>
        </w:rPr>
      </w:pPr>
      <w:r>
        <w:t xml:space="preserve">Tableau </w:t>
      </w:r>
      <w:r w:rsidR="00162FC5">
        <w:fldChar w:fldCharType="begin"/>
      </w:r>
      <w:r w:rsidR="00162FC5">
        <w:instrText xml:space="preserve"> SEQ Tableau \* AR</w:instrText>
      </w:r>
      <w:r w:rsidR="00162FC5">
        <w:instrText xml:space="preserve">ABIC </w:instrText>
      </w:r>
      <w:r w:rsidR="00162FC5">
        <w:fldChar w:fldCharType="separate"/>
      </w:r>
      <w:r w:rsidR="00E5663A">
        <w:rPr>
          <w:noProof/>
        </w:rPr>
        <w:t>7</w:t>
      </w:r>
      <w:r w:rsidR="00162FC5">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Confidentialité</w:t>
            </w:r>
          </w:p>
        </w:tc>
        <w:tc>
          <w:tcPr>
            <w:tcW w:w="1" w:type="dxa"/>
            <w:vAlign w:val="center"/>
            <w:shd w:val="clear" w:fill="#DCDCDC"/>
          </w:tcPr>
          <w:p>
            <w:pPr/>
            <w:r>
              <w:rPr>
                <w:b w:val="1"/>
                <w:bCs w:val="1"/>
              </w:rPr>
              <w:t xml:space="preserve">Intégrité</w:t>
            </w:r>
          </w:p>
        </w:tc>
        <w:tc>
          <w:tcPr>
            <w:tcW w:w="1" w:type="dxa"/>
            <w:vAlign w:val="center"/>
            <w:shd w:val="clear" w:fill="#DCDCDC"/>
          </w:tcPr>
          <w:p>
            <w:pPr/>
            <w:r>
              <w:rPr>
                <w:b w:val="1"/>
                <w:bCs w:val="1"/>
              </w:rPr>
              <w:t xml:space="preserve">Disponibilité</w:t>
            </w:r>
          </w:p>
        </w:tc>
        <w:tc>
          <w:tcPr>
            <w:tcW w:w="1" w:type="dxa"/>
            <w:vAlign w:val="center"/>
            <w:shd w:val="clear" w:fill="#DCDCDC"/>
          </w:tcPr>
          <w:p>
            <w:pPr/>
            <w:r>
              <w:rPr>
                <w:b w:val="1"/>
                <w:bCs w:val="1"/>
              </w:rPr>
              <w:t xml:space="preserve">Traçabilité</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de référentiel</w:t>
            </w:r>
          </w:p>
        </w:tc>
        <w:tc>
          <w:tcPr>
            <w:tcW w:w="1" w:type="dxa"/>
            <w:vAlign w:val="center"/>
            <w:shd w:val="clear" w:fill="#DCDCDC"/>
          </w:tcPr>
          <w:p>
            <w:pPr/>
            <w:r>
              <w:rPr>
                <w:b w:val="1"/>
                <w:bCs w:val="1"/>
              </w:rPr>
              <w:t xml:space="preserve">Nom du référentiel</w:t>
            </w:r>
          </w:p>
        </w:tc>
        <w:tc>
          <w:tcPr>
            <w:tcW w:w="1" w:type="dxa"/>
            <w:vAlign w:val="center"/>
            <w:shd w:val="clear" w:fill="#DCDCDC"/>
          </w:tcPr>
          <w:p>
            <w:pPr/>
            <w:r>
              <w:rPr>
                <w:b w:val="1"/>
                <w:bCs w:val="1"/>
              </w:rPr>
              <w:t xml:space="preserve">État d'application</w:t>
            </w:r>
          </w:p>
        </w:tc>
        <w:tc>
          <w:tcPr>
            <w:tcW w:w="1" w:type="dxa"/>
            <w:vAlign w:val="center"/>
            <w:shd w:val="clear" w:fill="#DCDCDC"/>
          </w:tcPr>
          <w:p>
            <w:pPr/>
            <w:r>
              <w:rPr>
                <w:b w:val="1"/>
                <w:bCs w:val="1"/>
              </w:rPr>
              <w:t xml:space="preserve">Commentaire</w:t>
            </w:r>
          </w:p>
        </w:tc>
      </w:tr>
      <w:tr>
        <w:trPr/>
        <w:tc>
          <w:tcPr>
            <w:tcW w:w="1" w:type="dxa"/>
            <w:vAlign w:val="center"/>
            <w:shd w:val="clear" w:fill="white"/>
          </w:tcPr>
          <w:p>
            <w:pPr/>
            <w:r>
              <w:rPr/>
              <w:t xml:space="preserve">Référentiel de sécurité</w:t>
            </w:r>
          </w:p>
        </w:tc>
        <w:tc>
          <w:tcPr>
            <w:tcW w:w="1" w:type="dxa"/>
            <w:vAlign w:val="center"/>
            <w:shd w:val="clear" w:fill="white"/>
          </w:tcPr>
          <w:p>
            <w:pPr/>
            <w:r>
              <w:rPr/>
              <w:t xml:space="preserve">Règles de codage</w:t>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de la règle</w:t>
            </w:r>
          </w:p>
        </w:tc>
        <w:tc>
          <w:tcPr>
            <w:tcW w:w="1" w:type="dxa"/>
            <w:vAlign w:val="center"/>
            <w:shd w:val="clear" w:fill="#DCDCDC"/>
          </w:tcPr>
          <w:p>
            <w:pPr/>
            <w:r>
              <w:rPr>
                <w:b w:val="1"/>
                <w:bCs w:val="1"/>
              </w:rPr>
              <w:t xml:space="preserve">Titre de la règle</w:t>
            </w:r>
          </w:p>
        </w:tc>
        <w:tc>
          <w:tcPr>
            <w:tcW w:w="1" w:type="dxa"/>
            <w:vAlign w:val="center"/>
            <w:shd w:val="clear" w:fill="#DCDCDC"/>
          </w:tcPr>
          <w:p>
            <w:pPr/>
            <w:r>
              <w:rPr>
                <w:b w:val="1"/>
                <w:bCs w:val="1"/>
              </w:rPr>
              <w:t xml:space="preserve">Description de la règle</w:t>
            </w:r>
          </w:p>
        </w:tc>
        <w:tc>
          <w:tcPr>
            <w:tcW w:w="1" w:type="dxa"/>
            <w:vAlign w:val="center"/>
            <w:shd w:val="clear" w:fill="#DCDCDC"/>
          </w:tcPr>
          <w:p>
            <w:pPr/>
            <w:r>
              <w:rPr>
                <w:b w:val="1"/>
                <w:bCs w:val="1"/>
              </w:rPr>
              <w:t xml:space="preserve">État de la règle</w:t>
            </w:r>
          </w:p>
        </w:tc>
        <w:tc>
          <w:tcPr>
            <w:tcW w:w="1" w:type="dxa"/>
            <w:vAlign w:val="center"/>
            <w:shd w:val="clear" w:fill="#DCDCDC"/>
          </w:tcPr>
          <w:p>
            <w:pPr/>
            <w:r>
              <w:rPr>
                <w:b w:val="1"/>
                <w:bCs w:val="1"/>
              </w:rPr>
              <w:t xml:space="preserve">Justification des écarts</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Date limite de la mise en application</w:t>
            </w:r>
          </w:p>
        </w:tc>
      </w:tr>
      <w:tr>
        <w:trPr/>
        <w:tc>
          <w:tcPr>
            <w:tcW w:w="1" w:type="dxa"/>
            <w:vAlign w:val="center"/>
            <w:shd w:val="clear" w:fill="white"/>
          </w:tcPr>
          <w:p>
            <w:pPr/>
            <w:r>
              <w:rPr/>
              <w:t xml:space="preserve">1</w:t>
            </w:r>
          </w:p>
        </w:tc>
        <w:tc>
          <w:tcPr>
            <w:tcW w:w="1" w:type="dxa"/>
            <w:vAlign w:val="center"/>
            <w:shd w:val="clear" w:fill="white"/>
          </w:tcPr>
          <w:p>
            <w:pPr/>
            <w:r>
              <w:rPr/>
              <w:t xml:space="preserve">RÈGLE — Application de conventions de codage claires et explicites</w:t>
            </w:r>
          </w:p>
        </w:tc>
        <w:tc>
          <w:tcPr>
            <w:tcW w:w="1" w:type="dxa"/>
            <w:vAlign w:val="center"/>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w:t>
            </w:r>
          </w:p>
        </w:tc>
        <w:tc>
          <w:tcPr>
            <w:tcW w:w="1" w:type="dxa"/>
            <w:vAlign w:val="center"/>
            <w:shd w:val="clear" w:fill="white"/>
          </w:tcPr>
          <w:p>
            <w:pPr/>
            <w:r>
              <w:rPr/>
              <w:t xml:space="preserve">RÈGLE — Seul le codage C conforme au standard est autorisé</w:t>
            </w:r>
          </w:p>
        </w:tc>
        <w:tc>
          <w:tcPr>
            <w:tcW w:w="1" w:type="dxa"/>
            <w:vAlign w:val="center"/>
            <w:shd w:val="clear" w:fill="white"/>
          </w:tcPr>
          <w:p>
            <w:pPr/>
            <w:r>
              <w:rPr/>
              <w:t xml:space="preserve">Aucune violation des contraintes et de la syntaxe C telles que définies dans les standards C90 ou C99 n’est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w:t>
            </w:r>
          </w:p>
        </w:tc>
        <w:tc>
          <w:tcPr>
            <w:tcW w:w="1" w:type="dxa"/>
            <w:vAlign w:val="center"/>
            <w:shd w:val="clear" w:fill="white"/>
          </w:tcPr>
          <w:p>
            <w:pPr/>
            <w:r>
              <w:rPr/>
              <w:t xml:space="preserve">RECOMMANDATION — Maîtrise des actions opérées à la compilation.</w:t>
            </w:r>
          </w:p>
        </w:tc>
        <w:tc>
          <w:tcPr>
            <w:tcW w:w="1" w:type="dxa"/>
            <w:vAlign w:val="center"/>
            <w:shd w:val="clear" w:fill="white"/>
          </w:tcPr>
          <w:p>
            <w:pPr/>
            <w:r>
              <w:rPr/>
              <w:t xml:space="preserve"> Le développeur doit connaître et documenter les actions associées aux options activées du compilateur y compris en terme d’optimisation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w:t>
            </w:r>
          </w:p>
        </w:tc>
        <w:tc>
          <w:tcPr>
            <w:tcW w:w="1" w:type="dxa"/>
            <w:vAlign w:val="center"/>
            <w:shd w:val="clear" w:fill="white"/>
          </w:tcPr>
          <w:p>
            <w:pPr/>
            <w:r>
              <w:rPr/>
              <w:t xml:space="preserve">RÈGLE — Définir précisément les options de compilation</w:t>
            </w:r>
          </w:p>
        </w:tc>
        <w:tc>
          <w:tcPr>
            <w:tcW w:w="1" w:type="dxa"/>
            <w:vAlign w:val="center"/>
            <w:shd w:val="clear" w:fill="white"/>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w:t>
            </w:r>
          </w:p>
        </w:tc>
        <w:tc>
          <w:tcPr>
            <w:tcW w:w="1" w:type="dxa"/>
            <w:vAlign w:val="center"/>
            <w:shd w:val="clear" w:fill="white"/>
          </w:tcPr>
          <w:p>
            <w:pPr/>
            <w:r>
              <w:rPr/>
              <w:t xml:space="preserve">RÈGLE — Utiliser des options de durcissement</w:t>
            </w:r>
          </w:p>
        </w:tc>
        <w:tc>
          <w:tcPr>
            <w:tcW w:w="1" w:type="dxa"/>
            <w:vAlign w:val="center"/>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w:t>
            </w:r>
          </w:p>
        </w:tc>
        <w:tc>
          <w:tcPr>
            <w:tcW w:w="1" w:type="dxa"/>
            <w:vAlign w:val="center"/>
            <w:shd w:val="clear" w:fill="white"/>
          </w:tcPr>
          <w:p>
            <w:pPr/>
            <w:r>
              <w:rPr/>
              <w:t xml:space="preserve">BONNE PRATIQUE — Utiliser des générateurs de projets pour la compilation.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w:t>
            </w:r>
          </w:p>
        </w:tc>
        <w:tc>
          <w:tcPr>
            <w:tcW w:w="1" w:type="dxa"/>
            <w:vAlign w:val="center"/>
            <w:shd w:val="clear" w:fill="white"/>
          </w:tcPr>
          <w:p>
            <w:pPr/>
            <w:r>
              <w:rPr/>
              <w:t xml:space="preserve">RÈGLE — Compiler le code sans erreur ni avertissement en activant des options de compilation exigent</w:t>
            </w:r>
          </w:p>
        </w:tc>
        <w:tc>
          <w:tcPr>
            <w:tcW w:w="1" w:type="dxa"/>
            <w:vAlign w:val="center"/>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w:t>
            </w:r>
          </w:p>
        </w:tc>
        <w:tc>
          <w:tcPr>
            <w:tcW w:w="1" w:type="dxa"/>
            <w:vAlign w:val="center"/>
            <w:shd w:val="clear" w:fill="white"/>
          </w:tcPr>
          <w:p>
            <w:pPr/>
            <w:r>
              <w:rPr/>
              <w:t xml:space="preserve">RECOMMANDATION — Utiliser les options des compilations les plus exigentes</w:t>
            </w:r>
          </w:p>
        </w:tc>
        <w:tc>
          <w:tcPr>
            <w:tcW w:w="1" w:type="dxa"/>
            <w:vAlign w:val="center"/>
            <w:shd w:val="clear" w:fill="white"/>
          </w:tcPr>
          <w:p>
            <w:pPr/>
            <w:r>
              <w:rPr/>
              <w:t xml:space="preserve">Si une option élevée d’un compilateur n’apparaît pas pertinente pour un développement donné, une justification sera fournie pour expliquer ce choix.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w:t>
            </w:r>
          </w:p>
        </w:tc>
        <w:tc>
          <w:tcPr>
            <w:tcW w:w="1" w:type="dxa"/>
            <w:vAlign w:val="center"/>
            <w:shd w:val="clear" w:fill="white"/>
          </w:tcPr>
          <w:p>
            <w:pPr/>
            <w:r>
              <w:rPr/>
              <w:t xml:space="preserve">RÈGLE — Tout code mis en production doit être compilé en mode release</w:t>
            </w:r>
          </w:p>
        </w:tc>
        <w:tc>
          <w:tcPr>
            <w:tcW w:w="1" w:type="dxa"/>
            <w:vAlign w:val="center"/>
            <w:shd w:val="clear" w:fill="white"/>
          </w:tcPr>
          <w:p>
            <w:pPr/>
            <w:r>
              <w:rPr/>
              <w:t xml:space="preserve">La compilation en mode release est obligatoire pour une mise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w:t>
            </w:r>
          </w:p>
        </w:tc>
        <w:tc>
          <w:tcPr>
            <w:tcW w:w="1" w:type="dxa"/>
            <w:vAlign w:val="center"/>
            <w:shd w:val="clear" w:fill="white"/>
          </w:tcPr>
          <w:p>
            <w:pPr/>
            <w:r>
              <w:rPr/>
              <w:t xml:space="preserve">RECOMMANDATION — Prêter une attention particulière aux modes debug et release lors de la compilation</w:t>
            </w:r>
          </w:p>
        </w:tc>
        <w:tc>
          <w:tcPr>
            <w:tcW w:w="1" w:type="dxa"/>
            <w:vAlign w:val="center"/>
            <w:shd w:val="clear" w:fill="white"/>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w:t>
            </w:r>
          </w:p>
        </w:tc>
        <w:tc>
          <w:tcPr>
            <w:tcW w:w="1" w:type="dxa"/>
            <w:vAlign w:val="center"/>
            <w:shd w:val="clear" w:fill="white"/>
          </w:tcPr>
          <w:p>
            <w:pPr/>
            <w:r>
              <w:rPr/>
              <w:t xml:space="preserve">RÈGLE — Utiliser des macros de garde d'inclusion multiple d'un fichier</w:t>
            </w:r>
          </w:p>
        </w:tc>
        <w:tc>
          <w:tcPr>
            <w:tcW w:w="1" w:type="dxa"/>
            <w:vAlign w:val="center"/>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w:t>
            </w:r>
          </w:p>
        </w:tc>
        <w:tc>
          <w:tcPr>
            <w:tcW w:w="1" w:type="dxa"/>
            <w:vAlign w:val="center"/>
            <w:shd w:val="clear" w:fill="white"/>
          </w:tcPr>
          <w:p>
            <w:pPr/>
            <w:r>
              <w:rPr/>
              <w:t xml:space="preserve">RÈGLE — Les inclusions de fichiers d'en-tête sont groupées en début de fichier</w:t>
            </w:r>
          </w:p>
        </w:tc>
        <w:tc>
          <w:tcPr>
            <w:tcW w:w="1" w:type="dxa"/>
            <w:vAlign w:val="center"/>
            <w:shd w:val="clear" w:fill="white"/>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w:t>
            </w:r>
          </w:p>
        </w:tc>
        <w:tc>
          <w:tcPr>
            <w:tcW w:w="1" w:type="dxa"/>
            <w:vAlign w:val="center"/>
            <w:shd w:val="clear" w:fill="white"/>
          </w:tcPr>
          <w:p>
            <w:pPr/>
            <w:r>
              <w:rPr/>
              <w:t xml:space="preserve">RECOMMANDATION — Les inclusions de fichiers d'en-tête systèmes sont effectuées avant les inclusions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w:t>
            </w:r>
          </w:p>
        </w:tc>
        <w:tc>
          <w:tcPr>
            <w:tcW w:w="1" w:type="dxa"/>
            <w:vAlign w:val="center"/>
            <w:shd w:val="clear" w:fill="white"/>
          </w:tcPr>
          <w:p>
            <w:pPr/>
            <w:r>
              <w:rPr/>
              <w:t xml:space="preserve">BONNE PRATIQUE — Utiliser l'ordre alphabétique dans l'inclusion de chaque type de fichiers d'en-tête</w:t>
            </w:r>
          </w:p>
        </w:tc>
        <w:tc>
          <w:tcPr>
            <w:tcW w:w="1" w:type="dxa"/>
            <w:vAlign w:val="center"/>
            <w:shd w:val="clear" w:fill="white"/>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w:t>
            </w:r>
          </w:p>
        </w:tc>
        <w:tc>
          <w:tcPr>
            <w:tcW w:w="1" w:type="dxa"/>
            <w:vAlign w:val="center"/>
            <w:shd w:val="clear" w:fill="white"/>
          </w:tcPr>
          <w:p>
            <w:pPr/>
            <w:r>
              <w:rPr/>
              <w:t xml:space="preserve">RÈGLE — Ne pas inclure un fichier source dans un autre fichier source</w:t>
            </w:r>
          </w:p>
        </w:tc>
        <w:tc>
          <w:tcPr>
            <w:tcW w:w="1" w:type="dxa"/>
            <w:vAlign w:val="center"/>
            <w:shd w:val="clear" w:fill="white"/>
          </w:tcPr>
          <w:p>
            <w:pPr/>
            <w:r>
              <w:rPr/>
              <w:t xml:space="preserve">Seule l’inclusion de fichiers d’en-tête est autorisée dans un fichier source.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w:t>
            </w:r>
          </w:p>
        </w:tc>
        <w:tc>
          <w:tcPr>
            <w:tcW w:w="1" w:type="dxa"/>
            <w:vAlign w:val="center"/>
            <w:shd w:val="clear" w:fill="white"/>
          </w:tcPr>
          <w:p>
            <w:pPr/>
            <w:r>
              <w:rPr/>
              <w:t xml:space="preserve">RÈGLE — Les chemins des fichiers doivent être portables et la casse doit être respectée</w:t>
            </w:r>
          </w:p>
        </w:tc>
        <w:tc>
          <w:tcPr>
            <w:tcW w:w="1" w:type="dxa"/>
            <w:vAlign w:val="center"/>
            <w:shd w:val="clear" w:fill="white"/>
          </w:tcPr>
          <w:p>
            <w:pPr/>
            <w:r>
              <w:rPr/>
              <w:t xml:space="preserve">Les chemins de fichiers, que ce soit pour une directive d’inclusion #include ou non, doivent être portables tout en respectant la casse des répertoires.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19</w:t>
            </w:r>
          </w:p>
        </w:tc>
        <w:tc>
          <w:tcPr>
            <w:tcW w:w="1" w:type="dxa"/>
            <w:vAlign w:val="center"/>
            <w:shd w:val="clear" w:fill="white"/>
          </w:tcPr>
          <w:p>
            <w:pPr/>
            <w:r>
              <w:rPr/>
              <w:t xml:space="preserve">RÈGLE — Le nom d'un fichier d'en-tête ne doit pas contenir certains caractères ou séquences de carac</w:t>
            </w:r>
          </w:p>
        </w:tc>
        <w:tc>
          <w:tcPr>
            <w:tcW w:w="1" w:type="dxa"/>
            <w:vAlign w:val="center"/>
            <w:shd w:val="clear" w:fill="white"/>
          </w:tcPr>
          <w:p>
            <w:pPr/>
            <w:r>
              <w:rPr/>
              <w:t xml:space="preserve">Le nom d’un fichier d’en-tête doit être exempt des caractères et des séquences de caractères suivants : « ', ", \, /* et //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20</w:t>
            </w:r>
          </w:p>
        </w:tc>
        <w:tc>
          <w:tcPr>
            <w:tcW w:w="1" w:type="dxa"/>
            <w:vAlign w:val="center"/>
            <w:shd w:val="clear" w:fill="white"/>
          </w:tcPr>
          <w:p>
            <w:pPr/>
            <w:r>
              <w:rPr/>
              <w:t xml:space="preserve">RECOMMANDATION — Les blocs préprocesseurs doivent être commentés</w:t>
            </w:r>
          </w:p>
        </w:tc>
        <w:tc>
          <w:tcPr>
            <w:tcW w:w="1" w:type="dxa"/>
            <w:vAlign w:val="center"/>
            <w:shd w:val="clear" w:fill="white"/>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21</w:t>
            </w:r>
          </w:p>
        </w:tc>
        <w:tc>
          <w:tcPr>
            <w:tcW w:w="1" w:type="dxa"/>
            <w:vAlign w:val="center"/>
            <w:shd w:val="clear" w:fill="white"/>
          </w:tcPr>
          <w:p>
            <w:pPr/>
            <w:r>
              <w:rPr/>
              <w:t xml:space="preserve">BONNE PRATIQUE — La double négation dans l'expression des conditions des blocs préprocesseurs doit ê</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22</w:t>
            </w:r>
          </w:p>
        </w:tc>
        <w:tc>
          <w:tcPr>
            <w:tcW w:w="1" w:type="dxa"/>
            <w:vAlign w:val="center"/>
            <w:shd w:val="clear" w:fill="white"/>
          </w:tcPr>
          <w:p>
            <w:pPr/>
            <w:r>
              <w:rPr/>
              <w:t xml:space="preserve">RÈGLE — Définition d'un bloc préprocesseur dans un seul et même fichier</w:t>
            </w:r>
          </w:p>
        </w:tc>
        <w:tc>
          <w:tcPr>
            <w:tcW w:w="1" w:type="dxa"/>
            <w:vAlign w:val="center"/>
            <w:shd w:val="clear" w:fill="white"/>
          </w:tcPr>
          <w:p>
            <w:pPr/>
            <w:r>
              <w:rPr/>
              <w:t xml:space="preserve">Pour un bloc préprocesseur, toutes les directives associées doivent se trouver dans le même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23</w:t>
            </w:r>
          </w:p>
        </w:tc>
        <w:tc>
          <w:tcPr>
            <w:tcW w:w="1" w:type="dxa"/>
            <w:vAlign w:val="center"/>
            <w:shd w:val="clear" w:fill="white"/>
          </w:tcPr>
          <w:p>
            <w:pPr/>
            <w:r>
              <w:rPr/>
              <w:t xml:space="preserve">RECOMMANDATION — Les expressions de contrôle des directives de preprocessing doivent être bien formé</w:t>
            </w:r>
          </w:p>
        </w:tc>
        <w:tc>
          <w:tcPr>
            <w:tcW w:w="1" w:type="dxa"/>
            <w:vAlign w:val="center"/>
            <w:shd w:val="clear" w:fill="white"/>
          </w:tcPr>
          <w:p>
            <w:pPr/>
            <w:r>
              <w:rPr/>
              <w:t xml:space="preserve">Les expressions de contrôle doivent être évaluées uniquement à 0 ou 1 et doivent utiliser uniquement des identifiants définis (via #define).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24</w:t>
            </w:r>
          </w:p>
        </w:tc>
        <w:tc>
          <w:tcPr>
            <w:tcW w:w="1" w:type="dxa"/>
            <w:vAlign w:val="center"/>
            <w:shd w:val="clear" w:fill="white"/>
          </w:tcPr>
          <w:p>
            <w:pPr/>
            <w:r>
              <w:rPr/>
              <w:t xml:space="preserve">RÈGLE — Ne pas utiliser dans une même expression plus d'un des opérateurs de preprocessing # et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25</w:t>
            </w:r>
          </w:p>
        </w:tc>
        <w:tc>
          <w:tcPr>
            <w:tcW w:w="1" w:type="dxa"/>
            <w:vAlign w:val="center"/>
            <w:shd w:val="clear" w:fill="white"/>
          </w:tcPr>
          <w:p>
            <w:pPr/>
            <w:r>
              <w:rPr/>
              <w:t xml:space="preserve">RÈGLE — Utiliser les opérateurs de preprocessing # et ## en maîtrisant leur expansion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26</w:t>
            </w:r>
          </w:p>
        </w:tc>
        <w:tc>
          <w:tcPr>
            <w:tcW w:w="1" w:type="dxa"/>
            <w:vAlign w:val="center"/>
            <w:shd w:val="clear" w:fill="white"/>
          </w:tcPr>
          <w:p>
            <w:pPr/>
            <w:r>
              <w:rPr/>
              <w:t xml:space="preserve">RÈGLE — Les macros doivent être nommées de façon spécifique</w:t>
            </w:r>
          </w:p>
        </w:tc>
        <w:tc>
          <w:tcPr>
            <w:tcW w:w="1" w:type="dxa"/>
            <w:vAlign w:val="center"/>
            <w:shd w:val="clear" w:fill="white"/>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27</w:t>
            </w:r>
          </w:p>
        </w:tc>
        <w:tc>
          <w:tcPr>
            <w:tcW w:w="1" w:type="dxa"/>
            <w:vAlign w:val="center"/>
            <w:shd w:val="clear" w:fill="white"/>
          </w:tcPr>
          <w:p>
            <w:pPr/>
            <w:r>
              <w:rPr/>
              <w:t xml:space="preserve">RÈGLE — Ne pas terminer une macro par un point-virgule</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28</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29</w:t>
            </w:r>
          </w:p>
        </w:tc>
        <w:tc>
          <w:tcPr>
            <w:tcW w:w="1" w:type="dxa"/>
            <w:vAlign w:val="center"/>
            <w:shd w:val="clear" w:fill="white"/>
          </w:tcPr>
          <w:p>
            <w:pPr/>
            <w:r>
              <w:rPr/>
              <w:t xml:space="preserve">RÈGLE — L'expansion d'une macro définie par le développeur ne doit pas créer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30</w:t>
            </w:r>
          </w:p>
        </w:tc>
        <w:tc>
          <w:tcPr>
            <w:tcW w:w="1" w:type="dxa"/>
            <w:vAlign w:val="center"/>
            <w:shd w:val="clear" w:fill="white"/>
          </w:tcPr>
          <w:p>
            <w:pPr/>
            <w:r>
              <w:rPr/>
              <w:t xml:space="preserve">RÈGLE — Les macros contenant plusieurs instructions doivent utiliser une boucle do { ... } while(0)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31</w:t>
            </w:r>
          </w:p>
        </w:tc>
        <w:tc>
          <w:tcPr>
            <w:tcW w:w="1" w:type="dxa"/>
            <w:vAlign w:val="center"/>
            <w:shd w:val="clear" w:fill="white"/>
          </w:tcPr>
          <w:p>
            <w:pPr/>
            <w:r>
              <w:rPr/>
              <w:t xml:space="preserve">RÈGLE — Parenthèses obligatoires autour des paramètres utilisés dans le corps d'une macro</w:t>
            </w:r>
          </w:p>
        </w:tc>
        <w:tc>
          <w:tcPr>
            <w:tcW w:w="1" w:type="dxa"/>
            <w:vAlign w:val="center"/>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32</w:t>
            </w:r>
          </w:p>
        </w:tc>
        <w:tc>
          <w:tcPr>
            <w:tcW w:w="1" w:type="dxa"/>
            <w:vAlign w:val="center"/>
            <w:shd w:val="clear" w:fill="white"/>
          </w:tcPr>
          <w:p>
            <w:pPr/>
            <w:r>
              <w:rPr/>
              <w:t xml:space="preserve">RECOMMANDATION — Il faut éviter les arguments d'une macro réalisant une opération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33</w:t>
            </w:r>
          </w:p>
        </w:tc>
        <w:tc>
          <w:tcPr>
            <w:tcW w:w="1" w:type="dxa"/>
            <w:vAlign w:val="center"/>
            <w:shd w:val="clear" w:fill="white"/>
          </w:tcPr>
          <w:p>
            <w:pPr/>
            <w:r>
              <w:rPr/>
              <w:t xml:space="preserve">RÈGLE — Les arguments d'une macro ne doivent pas contenir d'effets de bord.</w:t>
            </w:r>
          </w:p>
        </w:tc>
        <w:tc>
          <w:tcPr>
            <w:tcW w:w="1" w:type="dxa"/>
            <w:vAlign w:val="center"/>
            <w:shd w:val="clear" w:fill="white"/>
          </w:tcPr>
          <w:p>
            <w:pPr/>
            <w:r>
              <w:rPr/>
              <w:t xml:space="preserve">Des arguments de macro avec des effets de bord peuvent entraîner des évaluations multiples non désirées.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34</w:t>
            </w:r>
          </w:p>
        </w:tc>
        <w:tc>
          <w:tcPr>
            <w:tcW w:w="1" w:type="dxa"/>
            <w:vAlign w:val="center"/>
            <w:shd w:val="clear" w:fill="white"/>
          </w:tcPr>
          <w:p>
            <w:pPr/>
            <w:r>
              <w:rPr/>
              <w:t xml:space="preserve">RÈGLE — Ne pas utiliser de directives de preprocessing en arguments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35</w:t>
            </w:r>
          </w:p>
        </w:tc>
        <w:tc>
          <w:tcPr>
            <w:tcW w:w="1" w:type="dxa"/>
            <w:vAlign w:val="center"/>
            <w:shd w:val="clear" w:fill="white"/>
          </w:tcPr>
          <w:p>
            <w:pPr/>
            <w:r>
              <w:rPr/>
              <w:t xml:space="preserve">RÈGLE — La directive #undef ne doit pas être utilisée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36</w:t>
            </w:r>
          </w:p>
        </w:tc>
        <w:tc>
          <w:tcPr>
            <w:tcW w:w="1" w:type="dxa"/>
            <w:vAlign w:val="center"/>
            <w:shd w:val="clear" w:fill="white"/>
          </w:tcPr>
          <w:p>
            <w:pPr/>
            <w:r>
              <w:rPr/>
              <w:t xml:space="preserve">RÈGLE — Ne pas utiliser de trigraphes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37</w:t>
            </w:r>
          </w:p>
        </w:tc>
        <w:tc>
          <w:tcPr>
            <w:tcW w:w="1" w:type="dxa"/>
            <w:vAlign w:val="center"/>
            <w:shd w:val="clear" w:fill="white"/>
          </w:tcPr>
          <w:p>
            <w:pPr/>
            <w:r>
              <w:rPr/>
              <w:t xml:space="preserve">RECOMMANDATION — Les points d'interrogation ne doivent pas être utilisés de façon successive</w:t>
            </w:r>
          </w:p>
        </w:tc>
        <w:tc>
          <w:tcPr>
            <w:tcW w:w="1" w:type="dxa"/>
            <w:vAlign w:val="center"/>
            <w:shd w:val="clear" w:fill="white"/>
          </w:tcPr>
          <w:p>
            <w:pPr/>
            <w:r>
              <w:rPr/>
              <w:t xml:space="preserve">Cette règle s’applique pour toute partie du code mais aussi pour les commentaires.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38</w:t>
            </w:r>
          </w:p>
        </w:tc>
        <w:tc>
          <w:tcPr>
            <w:tcW w:w="1" w:type="dxa"/>
            <w:vAlign w:val="center"/>
            <w:shd w:val="clear" w:fill="white"/>
          </w:tcPr>
          <w:p>
            <w:pPr/>
            <w:r>
              <w:rPr/>
              <w:t xml:space="preserve">RECOMMANDATION — Seules les déclarations multiples de variables simples de même type sont autorisées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39</w:t>
            </w:r>
          </w:p>
        </w:tc>
        <w:tc>
          <w:tcPr>
            <w:tcW w:w="1" w:type="dxa"/>
            <w:vAlign w:val="center"/>
            <w:shd w:val="clear" w:fill="white"/>
          </w:tcPr>
          <w:p>
            <w:pPr/>
            <w:r>
              <w:rPr/>
              <w:t xml:space="preserve">RÈGLE — Ne pas faire de déclaration multiple de variables associée à une initialisation.</w:t>
            </w:r>
          </w:p>
        </w:tc>
        <w:tc>
          <w:tcPr>
            <w:tcW w:w="1" w:type="dxa"/>
            <w:vAlign w:val="center"/>
            <w:shd w:val="clear" w:fill="white"/>
          </w:tcPr>
          <w:p>
            <w:pPr/>
            <w:r>
              <w:rPr/>
              <w:t xml:space="preserve">Les initialisations associées (i.e. consécutives et dans une même instruction) à une déclaration multiple sont interdites.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40</w:t>
            </w:r>
          </w:p>
        </w:tc>
        <w:tc>
          <w:tcPr>
            <w:tcW w:w="1" w:type="dxa"/>
            <w:vAlign w:val="center"/>
            <w:shd w:val="clear" w:fill="white"/>
          </w:tcPr>
          <w:p>
            <w:pPr/>
            <w:r>
              <w:rPr/>
              <w:t xml:space="preserve">RECOMMANDATION — Regrouper les déclarations de variables en début du bloc dans lequel elles sont uti</w:t>
            </w:r>
          </w:p>
        </w:tc>
        <w:tc>
          <w:tcPr>
            <w:tcW w:w="1" w:type="dxa"/>
            <w:vAlign w:val="center"/>
            <w:shd w:val="clear" w:fill="white"/>
          </w:tcPr>
          <w:p>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41</w:t>
            </w:r>
          </w:p>
        </w:tc>
        <w:tc>
          <w:tcPr>
            <w:tcW w:w="1" w:type="dxa"/>
            <w:vAlign w:val="center"/>
            <w:shd w:val="clear" w:fill="white"/>
          </w:tcPr>
          <w:p>
            <w:pPr/>
            <w:r>
              <w:rPr/>
              <w:t xml:space="preserve">RÈGLE — Ne pas utiliser des valeurs en dur</w:t>
            </w:r>
          </w:p>
        </w:tc>
        <w:tc>
          <w:tcPr>
            <w:tcW w:w="1" w:type="dxa"/>
            <w:vAlign w:val="center"/>
            <w:shd w:val="clear" w:fill="white"/>
          </w:tcPr>
          <w:p>
            <w:pPr/>
            <w:r>
              <w:rPr/>
              <w:t xml:space="preserve">Les valeurs utilisées dans le code doivent être déclarées comme des constantes.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42</w:t>
            </w:r>
          </w:p>
        </w:tc>
        <w:tc>
          <w:tcPr>
            <w:tcW w:w="1" w:type="dxa"/>
            <w:vAlign w:val="center"/>
            <w:shd w:val="clear" w:fill="white"/>
          </w:tcPr>
          <w:p>
            <w:pPr/>
            <w:r>
              <w:rPr/>
              <w:t xml:space="preserve">BONNE PRATIQUE — Centraliser la déclaration des constantes en début de fichier</w:t>
            </w:r>
          </w:p>
        </w:tc>
        <w:tc>
          <w:tcPr>
            <w:tcW w:w="1" w:type="dxa"/>
            <w:vAlign w:val="center"/>
            <w:shd w:val="clear" w:fill="white"/>
          </w:tcPr>
          <w:p>
            <w:pPr/>
            <w:r>
              <w:rPr/>
              <w:t xml:space="preserve">Pour faciliter la lecture, les constantes sont déclarées ensemble en début du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43</w:t>
            </w:r>
          </w:p>
        </w:tc>
        <w:tc>
          <w:tcPr>
            <w:tcW w:w="1" w:type="dxa"/>
            <w:vAlign w:val="center"/>
            <w:shd w:val="clear" w:fill="white"/>
          </w:tcPr>
          <w:p>
            <w:pPr/>
            <w:r>
              <w:rPr/>
              <w:t xml:space="preserve">RÈGLE — Déclarer les constantes en capitales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44</w:t>
            </w:r>
          </w:p>
        </w:tc>
        <w:tc>
          <w:tcPr>
            <w:tcW w:w="1" w:type="dxa"/>
            <w:vAlign w:val="center"/>
            <w:shd w:val="clear" w:fill="white"/>
          </w:tcPr>
          <w:p>
            <w:pPr/>
            <w:r>
              <w:rPr/>
              <w:t xml:space="preserve">RÈGLE — Les constantes sans contrôle de type sont déclarées avec la macro préprocesseur de définitio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45</w:t>
            </w:r>
          </w:p>
        </w:tc>
        <w:tc>
          <w:tcPr>
            <w:tcW w:w="1" w:type="dxa"/>
            <w:vAlign w:val="center"/>
            <w:shd w:val="clear" w:fill="white"/>
          </w:tcPr>
          <w:p>
            <w:pPr/>
            <w:r>
              <w:rPr/>
              <w:t xml:space="preserve">RÈGLE — Les constantes avec un contrôle de type explicite doivent être déclarées avec le mot clé con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46</w:t>
            </w:r>
          </w:p>
        </w:tc>
        <w:tc>
          <w:tcPr>
            <w:tcW w:w="1" w:type="dxa"/>
            <w:vAlign w:val="center"/>
            <w:shd w:val="clear" w:fill="white"/>
          </w:tcPr>
          <w:p>
            <w:pPr/>
            <w:r>
              <w:rPr/>
              <w:t xml:space="preserve">RÈGLE — Les valeurs constantes doivent être associées à un suffixe dépendant du type</w:t>
            </w:r>
          </w:p>
        </w:tc>
        <w:tc>
          <w:tcPr>
            <w:tcW w:w="1" w:type="dxa"/>
            <w:vAlign w:val="center"/>
            <w:shd w:val="clear" w:fill="white"/>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47</w:t>
            </w:r>
          </w:p>
        </w:tc>
        <w:tc>
          <w:tcPr>
            <w:tcW w:w="1" w:type="dxa"/>
            <w:vAlign w:val="center"/>
            <w:shd w:val="clear" w:fill="white"/>
          </w:tcPr>
          <w:p>
            <w:pPr/>
            <w:r>
              <w:rPr/>
              <w:t xml:space="preserve">RÈGLE — La taille du type associé à une expression constante doit être suffisante pour la contenir</w:t>
            </w:r>
          </w:p>
        </w:tc>
        <w:tc>
          <w:tcPr>
            <w:tcW w:w="1" w:type="dxa"/>
            <w:vAlign w:val="center"/>
            <w:shd w:val="clear" w:fill="white"/>
          </w:tcPr>
          <w:p>
            <w:pPr/>
            <w:r>
              <w:rPr/>
              <w:t xml:space="preserve">Il faut s’assurer que les valeurs ou expressions constantes utilisées ne dépassent pas du type qui leur est associé.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48</w:t>
            </w:r>
          </w:p>
        </w:tc>
        <w:tc>
          <w:tcPr>
            <w:tcW w:w="1" w:type="dxa"/>
            <w:vAlign w:val="center"/>
            <w:shd w:val="clear" w:fill="white"/>
          </w:tcPr>
          <w:p>
            <w:pPr/>
            <w:r>
              <w:rPr/>
              <w:t xml:space="preserve">RECOMMANDATION — Proscrire les constantes en octal</w:t>
            </w:r>
          </w:p>
        </w:tc>
        <w:tc>
          <w:tcPr>
            <w:tcW w:w="1" w:type="dxa"/>
            <w:vAlign w:val="center"/>
            <w:shd w:val="clear" w:fill="white"/>
          </w:tcPr>
          <w:p>
            <w:pPr/>
            <w:r>
              <w:rPr/>
              <w:t xml:space="preserve">Ne pas utiliser de constante ni de séquence d’échappement en octal.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49</w:t>
            </w:r>
          </w:p>
        </w:tc>
        <w:tc>
          <w:tcPr>
            <w:tcW w:w="1" w:type="dxa"/>
            <w:vAlign w:val="center"/>
            <w:shd w:val="clear" w:fill="white"/>
          </w:tcPr>
          <w:p>
            <w:pPr/>
            <w:r>
              <w:rPr/>
              <w:t xml:space="preserve">RÈGLE — Limiter les variables globales au strict nécessaire</w:t>
            </w:r>
          </w:p>
        </w:tc>
        <w:tc>
          <w:tcPr>
            <w:tcW w:w="1" w:type="dxa"/>
            <w:vAlign w:val="center"/>
            <w:shd w:val="clear" w:fill="white"/>
          </w:tcPr>
          <w:p>
            <w:pPr/>
            <w:r>
              <w:rPr/>
              <w:t xml:space="preserve">Limiter l’usage des variables globales et préférer les paramètres de fonctions pour propager une structure de données au travers d’une application.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50</w:t>
            </w:r>
          </w:p>
        </w:tc>
        <w:tc>
          <w:tcPr>
            <w:tcW w:w="1" w:type="dxa"/>
            <w:vAlign w:val="center"/>
            <w:shd w:val="clear" w:fill="white"/>
          </w:tcPr>
          <w:p>
            <w:pPr/>
            <w:r>
              <w:rPr/>
              <w:t xml:space="preserve">RÈGLE — Utilisation systématique du modificateur de déclaration static</w:t>
            </w:r>
          </w:p>
        </w:tc>
        <w:tc>
          <w:tcPr>
            <w:tcW w:w="1" w:type="dxa"/>
            <w:vAlign w:val="center"/>
            <w:shd w:val="clear" w:fill="white"/>
          </w:tcPr>
          <w:p>
            <w:pPr/>
            <w:r>
              <w:rPr/>
              <w:t xml:space="preserve">Utiliser le mot clef static pour toutes les fonctions et variables globales qui ne sont pas utilisées à l’extérieur du fichier source dans lequel elles sont définies.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51</w:t>
            </w:r>
          </w:p>
        </w:tc>
        <w:tc>
          <w:tcPr>
            <w:tcW w:w="1" w:type="dxa"/>
            <w:vAlign w:val="center"/>
            <w:shd w:val="clear" w:fill="white"/>
          </w:tcPr>
          <w:p>
            <w:pPr/>
            <w:r>
              <w:rPr/>
              <w:t xml:space="preserve">RÈGLE — Seules les variables modifiables en dehors de l'implémentation doivent être déclarées volati</w:t>
            </w:r>
          </w:p>
        </w:tc>
        <w:tc>
          <w:tcPr>
            <w:tcW w:w="1" w:type="dxa"/>
            <w:vAlign w:val="center"/>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52</w:t>
            </w:r>
          </w:p>
        </w:tc>
        <w:tc>
          <w:tcPr>
            <w:tcW w:w="1" w:type="dxa"/>
            <w:vAlign w:val="center"/>
            <w:shd w:val="clear" w:fill="white"/>
          </w:tcPr>
          <w:p>
            <w:pPr/>
            <w:r>
              <w:rPr/>
              <w:t xml:space="preserve">RÈGLE — Seuls des pointeurs spécifiés volatile peuvent accéder à des variables volatile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53</w:t>
            </w:r>
          </w:p>
        </w:tc>
        <w:tc>
          <w:tcPr>
            <w:tcW w:w="1" w:type="dxa"/>
            <w:vAlign w:val="center"/>
            <w:shd w:val="clear" w:fill="white"/>
          </w:tcPr>
          <w:p>
            <w:pPr/>
            <w:r>
              <w:rPr/>
              <w:t xml:space="preserve">RÈGLE — Aucune omission de type n'est acceptée lors de la déclaration d'une variable</w:t>
            </w:r>
          </w:p>
        </w:tc>
        <w:tc>
          <w:tcPr>
            <w:tcW w:w="1" w:type="dxa"/>
            <w:vAlign w:val="center"/>
            <w:shd w:val="clear" w:fill="white"/>
          </w:tcPr>
          <w:p>
            <w:pPr/>
            <w:r>
              <w:rPr/>
              <w:t xml:space="preserve">Toutes les variables utilisées doivent avoir été préalablement déclarées de façon explicite.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54</w:t>
            </w:r>
          </w:p>
        </w:tc>
        <w:tc>
          <w:tcPr>
            <w:tcW w:w="1" w:type="dxa"/>
            <w:vAlign w:val="center"/>
            <w:shd w:val="clear" w:fill="white"/>
          </w:tcPr>
          <w:p>
            <w:pPr/>
            <w:r>
              <w:rPr/>
              <w:t xml:space="preserve">RECOMMANDATION — Limiter l'utilisation des compound literals</w:t>
            </w:r>
          </w:p>
        </w:tc>
        <w:tc>
          <w:tcPr>
            <w:tcW w:w="1" w:type="dxa"/>
            <w:vAlign w:val="center"/>
            <w:shd w:val="clear" w:fill="white"/>
          </w:tcPr>
          <w:p>
            <w:pPr/>
            <w:r>
              <w:rPr/>
              <w:t xml:space="preserve">Du fait du risque de mauvaise manipulation des compound literals, leur utilisation doit être limitée, documentée et une attention particulière doit être donnée à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55</w:t>
            </w:r>
          </w:p>
        </w:tc>
        <w:tc>
          <w:tcPr>
            <w:tcW w:w="1" w:type="dxa"/>
            <w:vAlign w:val="center"/>
            <w:shd w:val="clear" w:fill="white"/>
          </w:tcPr>
          <w:p>
            <w:pPr/>
            <w:r>
              <w:rPr/>
              <w:t xml:space="preserve">RÈGLE — Ne pas mélanger des constantes explicites et implicites dans une énumération</w:t>
            </w:r>
          </w:p>
        </w:tc>
        <w:tc>
          <w:tcPr>
            <w:tcW w:w="1" w:type="dxa"/>
            <w:vAlign w:val="center"/>
            <w:shd w:val="clear" w:fill="white"/>
          </w:tcPr>
          <w:p>
            <w:pPr/>
            <w:r>
              <w:rPr/>
              <w:t xml:space="preserve">Il faut soit expliciter toutes les constantes d’une énumération avec une valeur unique soit n’en expliciter aucune.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56</w:t>
            </w:r>
          </w:p>
        </w:tc>
        <w:tc>
          <w:tcPr>
            <w:tcW w:w="1" w:type="dxa"/>
            <w:vAlign w:val="center"/>
            <w:shd w:val="clear" w:fill="white"/>
          </w:tcPr>
          <w:p>
            <w:pPr/>
            <w:r>
              <w:rPr/>
              <w:t xml:space="preserve">RÈGLE — Ne pas utiliser des énumérations anonymes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57</w:t>
            </w:r>
          </w:p>
        </w:tc>
        <w:tc>
          <w:tcPr>
            <w:tcW w:w="1" w:type="dxa"/>
            <w:vAlign w:val="center"/>
            <w:shd w:val="clear" w:fill="white"/>
          </w:tcPr>
          <w:p>
            <w:pPr/>
            <w:r>
              <w:rPr/>
              <w:t xml:space="preserve">RECOMMANDATION — Les variables doivent être initialisées à la déclaration ou immédiatement après</w:t>
            </w:r>
          </w:p>
        </w:tc>
        <w:tc>
          <w:tcPr>
            <w:tcW w:w="1" w:type="dxa"/>
            <w:vAlign w:val="center"/>
            <w:shd w:val="clear" w:fill="white"/>
          </w:tcPr>
          <w:p>
            <w:pPr/>
            <w:r>
              <w:rPr/>
              <w:t xml:space="preserve">Toutes les variables doivent être systématiquement initialisées à leur déclaration ou immédiatement après dans le cas de déclarations multiples.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58</w:t>
            </w:r>
          </w:p>
        </w:tc>
        <w:tc>
          <w:tcPr>
            <w:tcW w:w="1" w:type="dxa"/>
            <w:vAlign w:val="center"/>
            <w:shd w:val="clear" w:fill="white"/>
          </w:tcPr>
          <w:p>
            <w:pPr/>
            <w:r>
              <w:rPr/>
              <w:t xml:space="preserve">RÈGLE — Ne pas mélanger les différents types d'initialisation pour les variables structurées</w:t>
            </w:r>
          </w:p>
        </w:tc>
        <w:tc>
          <w:tcPr>
            <w:tcW w:w="1" w:type="dxa"/>
            <w:vAlign w:val="center"/>
            <w:shd w:val="clear" w:fill="white"/>
          </w:tcPr>
          <w:p>
            <w:pPr/>
            <w:r>
              <w:rPr/>
              <w:t xml:space="preserve">Pour l’initialisation d’une variable structurée, un seul et unique type d’initialisation doit être choisi et utilisé.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59</w:t>
            </w:r>
          </w:p>
        </w:tc>
        <w:tc>
          <w:tcPr>
            <w:tcW w:w="1" w:type="dxa"/>
            <w:vAlign w:val="center"/>
            <w:shd w:val="clear" w:fill="white"/>
          </w:tcPr>
          <w:p>
            <w:pPr/>
            <w:r>
              <w:rPr/>
              <w:t xml:space="preserve">RÈGLE — Les variables structurées ne doivent pas être initialisées sans expliciter la valeur d'initi</w:t>
            </w:r>
          </w:p>
        </w:tc>
        <w:tc>
          <w:tcPr>
            <w:tcW w:w="1" w:type="dxa"/>
            <w:vAlign w:val="center"/>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60</w:t>
            </w:r>
          </w:p>
        </w:tc>
        <w:tc>
          <w:tcPr>
            <w:tcW w:w="1" w:type="dxa"/>
            <w:vAlign w:val="center"/>
            <w:shd w:val="clear" w:fill="white"/>
          </w:tcPr>
          <w:p>
            <w:pPr/>
            <w:r>
              <w:rPr/>
              <w:t xml:space="preserve">RECOMMANDATION — Chaque déclaration publique (non static) doit être utilisée</w:t>
            </w:r>
          </w:p>
        </w:tc>
        <w:tc>
          <w:tcPr>
            <w:tcW w:w="1" w:type="dxa"/>
            <w:vAlign w:val="center"/>
            <w:shd w:val="clear" w:fill="white"/>
          </w:tcPr>
          <w:p>
            <w:pPr/>
            <w:r>
              <w:rPr/>
              <w:t xml:space="preserve">Toutes les déclarations publiques (i.e. non static) doivent être utilisées, qu’il s’agissede variables, fonctions, labels ou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61</w:t>
            </w:r>
          </w:p>
        </w:tc>
        <w:tc>
          <w:tcPr>
            <w:tcW w:w="1" w:type="dxa"/>
            <w:vAlign w:val="center"/>
            <w:shd w:val="clear" w:fill="white"/>
          </w:tcPr>
          <w:p>
            <w:pPr/>
            <w:r>
              <w:rPr/>
              <w:t xml:space="preserve">RÈGLE — Utiliser des variables pour les données sensibles distinctes des variables pour les données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62</w:t>
            </w:r>
          </w:p>
        </w:tc>
        <w:tc>
          <w:tcPr>
            <w:tcW w:w="1" w:type="dxa"/>
            <w:vAlign w:val="center"/>
            <w:shd w:val="clear" w:fill="white"/>
          </w:tcPr>
          <w:p>
            <w:pPr/>
            <w:r>
              <w:rPr/>
              <w:t xml:space="preserve">RÈGLE — Utiliser des variables pour les données sensibles et protégées en confidentialité et/ou inté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63</w:t>
            </w:r>
          </w:p>
        </w:tc>
        <w:tc>
          <w:tcPr>
            <w:tcW w:w="1" w:type="dxa"/>
            <w:vAlign w:val="center"/>
            <w:shd w:val="clear" w:fill="white"/>
          </w:tcPr>
          <w:p>
            <w:pPr/>
            <w:r>
              <w:rPr/>
              <w:t xml:space="preserve">RÈGLE — Ne jamais coder en dur une donnée sensible.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64</w:t>
            </w:r>
          </w:p>
        </w:tc>
        <w:tc>
          <w:tcPr>
            <w:tcW w:w="1" w:type="dxa"/>
            <w:vAlign w:val="center"/>
            <w:shd w:val="clear" w:fill="white"/>
          </w:tcPr>
          <w:p>
            <w:pPr/>
            <w:r>
              <w:rPr/>
              <w:t xml:space="preserve">RECOMMANDATION — Seuls des types d'entiers dont la taille et le signe sont explicites doivent être u</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65</w:t>
            </w:r>
          </w:p>
        </w:tc>
        <w:tc>
          <w:tcPr>
            <w:tcW w:w="1" w:type="dxa"/>
            <w:vAlign w:val="center"/>
            <w:shd w:val="clear" w:fill="white"/>
          </w:tcPr>
          <w:p>
            <w:pPr/>
            <w:r>
              <w:rPr/>
              <w:t xml:space="preserve">RÈGLE — Seuls les types signed char et unsigned char doivent être utilisés.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66</w:t>
            </w:r>
          </w:p>
        </w:tc>
        <w:tc>
          <w:tcPr>
            <w:tcW w:w="1" w:type="dxa"/>
            <w:vAlign w:val="center"/>
            <w:shd w:val="clear" w:fill="white"/>
          </w:tcPr>
          <w:p>
            <w:pPr/>
            <w:r>
              <w:rPr/>
              <w:t xml:space="preserve">RECOMMANDATION — Ne pas redéfinir des alias de types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67</w:t>
            </w:r>
          </w:p>
        </w:tc>
        <w:tc>
          <w:tcPr>
            <w:tcW w:w="1" w:type="dxa"/>
            <w:vAlign w:val="center"/>
            <w:shd w:val="clear" w:fill="white"/>
          </w:tcPr>
          <w:p>
            <w:pPr/>
            <w:r>
              <w:rPr/>
              <w:t xml:space="preserve">RÈGLE — Compréhension fine et précise des règles de conversions</w:t>
            </w:r>
          </w:p>
        </w:tc>
        <w:tc>
          <w:tcPr>
            <w:tcW w:w="1" w:type="dxa"/>
            <w:vAlign w:val="center"/>
            <w:shd w:val="clear" w:fill="white"/>
          </w:tcPr>
          <w:p>
            <w:pPr/>
            <w:r>
              <w:rPr/>
              <w:t xml:space="preserve">Le développeur se doit de connaître et comprendre toutes les règles de conversionimplicites des types entiers.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68</w:t>
            </w:r>
          </w:p>
        </w:tc>
        <w:tc>
          <w:tcPr>
            <w:tcW w:w="1" w:type="dxa"/>
            <w:vAlign w:val="center"/>
            <w:shd w:val="clear" w:fill="white"/>
          </w:tcPr>
          <w:p>
            <w:pPr/>
            <w:r>
              <w:rPr/>
              <w:t xml:space="preserve">RÈGLE — Conversions explicites entre des types signés et non signés</w:t>
            </w:r>
          </w:p>
        </w:tc>
        <w:tc>
          <w:tcPr>
            <w:tcW w:w="1" w:type="dxa"/>
            <w:vAlign w:val="center"/>
            <w:shd w:val="clear" w:fill="white"/>
          </w:tcPr>
          <w:p>
            <w:pPr/>
            <w:r>
              <w:rPr/>
              <w:t xml:space="preserve">Proscrire les conversions implicites de types. Utiliser des conversions explicites notamment entre type signé et type non signé.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69</w:t>
            </w:r>
          </w:p>
        </w:tc>
        <w:tc>
          <w:tcPr>
            <w:tcW w:w="1" w:type="dxa"/>
            <w:vAlign w:val="center"/>
            <w:shd w:val="clear" w:fill="white"/>
          </w:tcPr>
          <w:p>
            <w:pPr/>
            <w:r>
              <w:rPr/>
              <w:t xml:space="preserve">RECOMMANDATION — Ne pas utiliser de transtypage de pointeurs sur des types structurés différents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70</w:t>
            </w:r>
          </w:p>
        </w:tc>
        <w:tc>
          <w:tcPr>
            <w:tcW w:w="1" w:type="dxa"/>
            <w:vAlign w:val="center"/>
            <w:shd w:val="clear" w:fill="white"/>
          </w:tcPr>
          <w:p>
            <w:pPr/>
            <w:r>
              <w:rPr/>
              <w:t xml:space="preserve">RÈGLE — L'accès aux éléments d'un tableau se fera toujours en désignant en premier attribut le table</w:t>
            </w:r>
          </w:p>
        </w:tc>
        <w:tc>
          <w:tcPr>
            <w:tcW w:w="1" w:type="dxa"/>
            <w:vAlign w:val="center"/>
            <w:shd w:val="clear" w:fill="white"/>
          </w:tcPr>
          <w:p>
            <w:pPr/>
            <w:r>
              <w:rPr/>
              <w:t xml:space="preserve">L’accès au ième élément d’un tableau s’écrira toujours avec le nom du tableau en premier suivi de l’indice de la case à atteindre.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71</w:t>
            </w:r>
          </w:p>
        </w:tc>
        <w:tc>
          <w:tcPr>
            <w:tcW w:w="1" w:type="dxa"/>
            <w:vAlign w:val="center"/>
            <w:shd w:val="clear" w:fill="white"/>
          </w:tcPr>
          <w:p>
            <w:pPr/>
            <w:r>
              <w:rPr/>
              <w:t xml:space="preserve">RECOMMANDATION — L'accès aux éléments d'un tableau doit se faire en utilisant les crochets</w:t>
            </w:r>
          </w:p>
        </w:tc>
        <w:tc>
          <w:tcPr>
            <w:tcW w:w="1" w:type="dxa"/>
            <w:vAlign w:val="center"/>
            <w:shd w:val="clear" w:fill="white"/>
          </w:tcPr>
          <w:p>
            <w:pPr/>
            <w:r>
              <w:rPr/>
              <w:t xml:space="preserve">Dans le cas d’une variable de type tableau, la notation dédiée (via les crochets) doit être utilisée pour éviter toute ambiguïté.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72</w:t>
            </w:r>
          </w:p>
        </w:tc>
        <w:tc>
          <w:tcPr>
            <w:tcW w:w="1" w:type="dxa"/>
            <w:vAlign w:val="center"/>
            <w:shd w:val="clear" w:fill="white"/>
          </w:tcPr>
          <w:p>
            <w:pPr/>
            <w:r>
              <w:rPr/>
              <w:t xml:space="preserve">RÈGLE — Ne pas utiliser de VLA</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73</w:t>
            </w:r>
          </w:p>
        </w:tc>
        <w:tc>
          <w:tcPr>
            <w:tcW w:w="1" w:type="dxa"/>
            <w:vAlign w:val="center"/>
            <w:shd w:val="clear" w:fill="white"/>
          </w:tcPr>
          <w:p>
            <w:pPr/>
            <w:r>
              <w:rPr/>
              <w:t xml:space="preserve">RECOMMANDATION — Ne pas utiliser de taille implicite pour les tableaux</w:t>
            </w:r>
          </w:p>
        </w:tc>
        <w:tc>
          <w:tcPr>
            <w:tcW w:w="1" w:type="dxa"/>
            <w:vAlign w:val="center"/>
            <w:shd w:val="clear" w:fill="white"/>
          </w:tcPr>
          <w:p>
            <w:pPr/>
            <w:r>
              <w:rPr/>
              <w:t xml:space="preserve">Afin de s’assurer que les accès tableaux sont bien valides, la taille de ceux-ci doit être explicitée.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74</w:t>
            </w:r>
          </w:p>
        </w:tc>
        <w:tc>
          <w:tcPr>
            <w:tcW w:w="1" w:type="dxa"/>
            <w:vAlign w:val="center"/>
            <w:shd w:val="clear" w:fill="white"/>
          </w:tcPr>
          <w:p>
            <w:pPr/>
            <w:r>
              <w:rPr/>
              <w:t xml:space="preserve">RÈGLE — Utiliser des entiers non signés pour les tailles de tableaux</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75</w:t>
            </w:r>
          </w:p>
        </w:tc>
        <w:tc>
          <w:tcPr>
            <w:tcW w:w="1" w:type="dxa"/>
            <w:vAlign w:val="center"/>
            <w:shd w:val="clear" w:fill="white"/>
          </w:tcPr>
          <w:p>
            <w:pPr/>
            <w:r>
              <w:rPr/>
              <w:t xml:space="preserve">RÈGLE — Ne pas accèder à un élément de tableau sans vérifier la validité de l'indice utilisé</w:t>
            </w:r>
          </w:p>
        </w:tc>
        <w:tc>
          <w:tcPr>
            <w:tcW w:w="1" w:type="dxa"/>
            <w:vAlign w:val="center"/>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76</w:t>
            </w:r>
          </w:p>
        </w:tc>
        <w:tc>
          <w:tcPr>
            <w:tcW w:w="1" w:type="dxa"/>
            <w:vAlign w:val="center"/>
            <w:shd w:val="clear" w:fill="white"/>
          </w:tcPr>
          <w:p>
            <w:pPr/>
            <w:r>
              <w:rPr/>
              <w:t xml:space="preserve">RÈGLE — Un pointeur NULL ne doit pas être déréférencé</w:t>
            </w:r>
          </w:p>
        </w:tc>
        <w:tc>
          <w:tcPr>
            <w:tcW w:w="1" w:type="dxa"/>
            <w:vAlign w:val="center"/>
            <w:shd w:val="clear" w:fill="white"/>
          </w:tcPr>
          <w:p>
            <w:pPr/>
            <w:r>
              <w:rPr/>
              <w:t xml:space="preserve">Avant de déréférencer un pointeur, le développeur doit s’assurer que celui-ci n’est pas NULL.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77</w:t>
            </w:r>
          </w:p>
        </w:tc>
        <w:tc>
          <w:tcPr>
            <w:tcW w:w="1" w:type="dxa"/>
            <w:vAlign w:val="center"/>
            <w:shd w:val="clear" w:fill="white"/>
          </w:tcPr>
          <w:p>
            <w:pPr/>
            <w:r>
              <w:rPr/>
              <w:t xml:space="preserve">RÈGLE — Un pointeur doit être affecté à NULL après désallocation</w:t>
            </w:r>
          </w:p>
        </w:tc>
        <w:tc>
          <w:tcPr>
            <w:tcW w:w="1" w:type="dxa"/>
            <w:vAlign w:val="center"/>
            <w:shd w:val="clear" w:fill="white"/>
          </w:tcPr>
          <w:p>
            <w:pPr/>
            <w:r>
              <w:rPr/>
              <w:t xml:space="preserve">Un pointeur doit être systématiquement affecté à NULL suite à la désallocation de la mémoire qu’il pointe.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78</w:t>
            </w:r>
          </w:p>
        </w:tc>
        <w:tc>
          <w:tcPr>
            <w:tcW w:w="1" w:type="dxa"/>
            <w:vAlign w:val="center"/>
            <w:shd w:val="clear" w:fill="white"/>
          </w:tcPr>
          <w:p>
            <w:pPr/>
            <w:r>
              <w:rPr/>
              <w:t xml:space="preserve">RÈGLE — Ne pas utiliser le qualificateur de pointeur restrict</w:t>
            </w:r>
          </w:p>
        </w:tc>
        <w:tc>
          <w:tcPr>
            <w:tcW w:w="1" w:type="dxa"/>
            <w:vAlign w:val="center"/>
            <w:shd w:val="clear" w:fill="white"/>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79</w:t>
            </w:r>
          </w:p>
        </w:tc>
        <w:tc>
          <w:tcPr>
            <w:tcW w:w="1" w:type="dxa"/>
            <w:vAlign w:val="center"/>
            <w:shd w:val="clear" w:fill="white"/>
          </w:tcPr>
          <w:p>
            <w:pPr/>
            <w:r>
              <w:rPr/>
              <w:t xml:space="preserve">RECOMMANDATION — Le nombre de niveau d'indirections de pointeur doit être limité à deux</w:t>
            </w:r>
          </w:p>
        </w:tc>
        <w:tc>
          <w:tcPr>
            <w:tcW w:w="1" w:type="dxa"/>
            <w:vAlign w:val="center"/>
            <w:shd w:val="clear" w:fill="white"/>
          </w:tcPr>
          <w:p>
            <w:pPr/>
            <w:r>
              <w:rPr/>
              <w:t xml:space="preserve">Le nombre d’indirections pour un pointeur ne doit pas dépasser deux niveaux.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80</w:t>
            </w:r>
          </w:p>
        </w:tc>
        <w:tc>
          <w:tcPr>
            <w:tcW w:w="1" w:type="dxa"/>
            <w:vAlign w:val="center"/>
            <w:shd w:val="clear" w:fill="white"/>
          </w:tcPr>
          <w:p>
            <w:pPr/>
            <w:r>
              <w:rPr/>
              <w:t xml:space="preserve">RECOMMANDATION — Préférer l'utilisation de l'opérateur d'indirection -&gt;</w:t>
            </w:r>
          </w:p>
        </w:tc>
        <w:tc>
          <w:tcPr>
            <w:tcW w:w="1" w:type="dxa"/>
            <w:vAlign w:val="center"/>
            <w:shd w:val="clear" w:fill="white"/>
          </w:tcPr>
          <w:p>
            <w:pPr/>
            <w:r>
              <w:rPr/>
              <w:t xml:space="preserve">L’opérateur d’indirection -&gt; doit être utilisé pour atteindre les champs d’une structure par l’intermédiaire d’un pointeur.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81</w:t>
            </w:r>
          </w:p>
        </w:tc>
        <w:tc>
          <w:tcPr>
            <w:tcW w:w="1" w:type="dxa"/>
            <w:vAlign w:val="center"/>
            <w:shd w:val="clear" w:fill="white"/>
          </w:tcPr>
          <w:p>
            <w:pPr/>
            <w:r>
              <w:rPr/>
              <w:t xml:space="preserve">RÈGLE — Seul l'incrément ou le décrément de pointeurs de tableaux est autorisé</w:t>
            </w:r>
          </w:p>
        </w:tc>
        <w:tc>
          <w:tcPr>
            <w:tcW w:w="1" w:type="dxa"/>
            <w:vAlign w:val="center"/>
            <w:shd w:val="clear" w:fill="white"/>
          </w:tcPr>
          <w:p>
            <w:pPr/>
            <w:r>
              <w:rPr/>
              <w:t xml:space="preserve">L’incrément ou le décrément de pointeurs ne doit être utilisé que sur des pointeurs représentant un tableau ou un élément d’un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82</w:t>
            </w:r>
          </w:p>
        </w:tc>
        <w:tc>
          <w:tcPr>
            <w:tcW w:w="1" w:type="dxa"/>
            <w:vAlign w:val="center"/>
            <w:shd w:val="clear" w:fill="white"/>
          </w:tcPr>
          <w:p>
            <w:pPr/>
            <w:r>
              <w:rPr/>
              <w:t xml:space="preserve">RÈGLE — Aucune arithmétique sur les pointeurs void* n'est autorisée</w:t>
            </w:r>
          </w:p>
        </w:tc>
        <w:tc>
          <w:tcPr>
            <w:tcW w:w="1" w:type="dxa"/>
            <w:vAlign w:val="center"/>
            <w:shd w:val="clear" w:fill="white"/>
          </w:tcPr>
          <w:p>
            <w:pPr/>
            <w:r>
              <w:rPr/>
              <w:t xml:space="preserve">Il faut proscrire l’utilisation de toute arithmétique sur des pointeurs de type void*.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83</w:t>
            </w:r>
          </w:p>
        </w:tc>
        <w:tc>
          <w:tcPr>
            <w:tcW w:w="1" w:type="dxa"/>
            <w:vAlign w:val="center"/>
            <w:shd w:val="clear" w:fill="white"/>
          </w:tcPr>
          <w:p>
            <w:pPr/>
            <w:r>
              <w:rPr/>
              <w:t xml:space="preserve">RECOMMANDATION — Arithmétique des pointeurs sur tableaux contrôlée</w:t>
            </w:r>
          </w:p>
        </w:tc>
        <w:tc>
          <w:tcPr>
            <w:tcW w:w="1" w:type="dxa"/>
            <w:vAlign w:val="center"/>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84</w:t>
            </w:r>
          </w:p>
        </w:tc>
        <w:tc>
          <w:tcPr>
            <w:tcW w:w="1" w:type="dxa"/>
            <w:vAlign w:val="center"/>
            <w:shd w:val="clear" w:fill="white"/>
          </w:tcPr>
          <w:p>
            <w:pPr/>
            <w:r>
              <w:rPr/>
              <w:t xml:space="preserve">RÈGLE — Soustraction et comparaison entre pointeurs d'un même tableau uniquement</w:t>
            </w:r>
          </w:p>
        </w:tc>
        <w:tc>
          <w:tcPr>
            <w:tcW w:w="1" w:type="dxa"/>
            <w:vAlign w:val="center"/>
            <w:shd w:val="clear" w:fill="white"/>
          </w:tcPr>
          <w:p>
            <w:pPr/>
            <w:r>
              <w:rPr/>
              <w:t xml:space="preserve">Seules les soustractions et comparaisons de pointeurs sur un même tableau sont autorisés.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85</w:t>
            </w:r>
          </w:p>
        </w:tc>
        <w:tc>
          <w:tcPr>
            <w:tcW w:w="1" w:type="dxa"/>
            <w:vAlign w:val="center"/>
            <w:shd w:val="clear" w:fill="white"/>
          </w:tcPr>
          <w:p>
            <w:pPr/>
            <w:r>
              <w:rPr/>
              <w:t xml:space="preserve">RECOMMANDATION — Il ne faut pas affecter directement une adresse fixe à un pointeur.</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86</w:t>
            </w:r>
          </w:p>
        </w:tc>
        <w:tc>
          <w:tcPr>
            <w:tcW w:w="1" w:type="dxa"/>
            <w:vAlign w:val="center"/>
            <w:shd w:val="clear" w:fill="white"/>
          </w:tcPr>
          <w:p>
            <w:pPr/>
            <w:r>
              <w:rPr/>
              <w:t xml:space="preserve">RÈGLE — Une structure doit être utilisée pour regrouper les données représentant une même entité</w:t>
            </w:r>
          </w:p>
        </w:tc>
        <w:tc>
          <w:tcPr>
            <w:tcW w:w="1" w:type="dxa"/>
            <w:vAlign w:val="center"/>
            <w:shd w:val="clear" w:fill="white"/>
          </w:tcPr>
          <w:p>
            <w:pPr/>
            <w:r>
              <w:rPr/>
              <w:t xml:space="preserve">Les données liées doivent être regroupées au sein d’une structure.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87</w:t>
            </w:r>
          </w:p>
        </w:tc>
        <w:tc>
          <w:tcPr>
            <w:tcW w:w="1" w:type="dxa"/>
            <w:vAlign w:val="center"/>
            <w:shd w:val="clear" w:fill="white"/>
          </w:tcPr>
          <w:p>
            <w:pPr/>
            <w:r>
              <w:rPr/>
              <w:t xml:space="preserve">RÈGLE — Ne pas calculer la taille d'une structure comme la somme de la taille de ses champs</w:t>
            </w:r>
          </w:p>
        </w:tc>
        <w:tc>
          <w:tcPr>
            <w:tcW w:w="1" w:type="dxa"/>
            <w:vAlign w:val="center"/>
            <w:shd w:val="clear" w:fill="white"/>
          </w:tcPr>
          <w:p>
            <w:pPr/>
            <w:r>
              <w:rPr/>
              <w:t xml:space="preserve">Du fait du padding, la taille d’une structure ne doit pas être supposée comme la somme de la taille de ses champs.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88</w:t>
            </w:r>
          </w:p>
        </w:tc>
        <w:tc>
          <w:tcPr>
            <w:tcW w:w="1" w:type="dxa"/>
            <w:vAlign w:val="center"/>
            <w:shd w:val="clear" w:fill="white"/>
          </w:tcPr>
          <w:p>
            <w:pPr/>
            <w:r>
              <w:rPr/>
              <w:t xml:space="preserve">RÈGLE — Tout bitfield doit obligatoirement être déclaré explicitement comme non signé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89</w:t>
            </w:r>
          </w:p>
        </w:tc>
        <w:tc>
          <w:tcPr>
            <w:tcW w:w="1" w:type="dxa"/>
            <w:vAlign w:val="center"/>
            <w:shd w:val="clear" w:fill="white"/>
          </w:tcPr>
          <w:p>
            <w:pPr/>
            <w:r>
              <w:rPr/>
              <w:t xml:space="preserve">RÈGLE — Ne pas faire d'hypothèse sur la représentation interne de structures avec des bitfields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90</w:t>
            </w:r>
          </w:p>
        </w:tc>
        <w:tc>
          <w:tcPr>
            <w:tcW w:w="1" w:type="dxa"/>
            <w:vAlign w:val="center"/>
            <w:shd w:val="clear" w:fill="white"/>
          </w:tcPr>
          <w:p>
            <w:pPr/>
            <w:r>
              <w:rPr/>
              <w:t xml:space="preserve">RÈGLE — Ne pas utiliser les FAM</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91</w:t>
            </w:r>
          </w:p>
        </w:tc>
        <w:tc>
          <w:tcPr>
            <w:tcW w:w="1" w:type="dxa"/>
            <w:vAlign w:val="center"/>
            <w:shd w:val="clear" w:fill="white"/>
          </w:tcPr>
          <w:p>
            <w:pPr/>
            <w:r>
              <w:rPr/>
              <w:t xml:space="preserve">RECOMMANDATION — Ne pas utiliser les unions</w:t>
            </w:r>
          </w:p>
        </w:tc>
        <w:tc>
          <w:tcPr>
            <w:tcW w:w="1" w:type="dxa"/>
            <w:vAlign w:val="center"/>
            <w:shd w:val="clear" w:fill="white"/>
          </w:tcPr>
          <w:p>
            <w:pPr/>
            <w:r>
              <w:rPr/>
              <w:t xml:space="preserve">L’utilisation du même espace mémoire pour plusieurs données de natures différentes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92</w:t>
            </w:r>
          </w:p>
        </w:tc>
        <w:tc>
          <w:tcPr>
            <w:tcW w:w="1" w:type="dxa"/>
            <w:vAlign w:val="center"/>
            <w:shd w:val="clear" w:fill="white"/>
          </w:tcPr>
          <w:p>
            <w:pPr/>
            <w:r>
              <w:rPr/>
              <w:t xml:space="preserve">RÈGLE — Supprimer tous les débordements de valeurs possibles pour des entiers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93</w:t>
            </w:r>
          </w:p>
        </w:tc>
        <w:tc>
          <w:tcPr>
            <w:tcW w:w="1" w:type="dxa"/>
            <w:vAlign w:val="center"/>
            <w:shd w:val="clear" w:fill="white"/>
          </w:tcPr>
          <w:p>
            <w:pPr/>
            <w:r>
              <w:rPr/>
              <w:t xml:space="preserve">RECOMMANDATION — Détecter tous les wraps possibles de valeurs pour les entiers non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94</w:t>
            </w:r>
          </w:p>
        </w:tc>
        <w:tc>
          <w:tcPr>
            <w:tcW w:w="1" w:type="dxa"/>
            <w:vAlign w:val="center"/>
            <w:shd w:val="clear" w:fill="white"/>
          </w:tcPr>
          <w:p>
            <w:pPr/>
            <w:r>
              <w:rPr/>
              <w:t xml:space="preserve">RÈGLE — Détecter et supprimer toute potentielle division par zéro</w:t>
            </w:r>
          </w:p>
        </w:tc>
        <w:tc>
          <w:tcPr>
            <w:tcW w:w="1" w:type="dxa"/>
            <w:vAlign w:val="center"/>
            <w:shd w:val="clear" w:fill="white"/>
          </w:tcPr>
          <w:p>
            <w:pPr/>
            <w:r>
              <w:rPr/>
              <w:t xml:space="preserve">Cette vérification doit être systématique pour tout calcul de division ou de reste de division.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95</w:t>
            </w:r>
          </w:p>
        </w:tc>
        <w:tc>
          <w:tcPr>
            <w:tcW w:w="1" w:type="dxa"/>
            <w:vAlign w:val="center"/>
            <w:shd w:val="clear" w:fill="white"/>
          </w:tcPr>
          <w:p>
            <w:pPr/>
            <w:r>
              <w:rPr/>
              <w:t xml:space="preserve">RECOMMANDATION — Les opérations arithmétiques doivent être écrites en favorisant leur lisibilité</w:t>
            </w:r>
          </w:p>
        </w:tc>
        <w:tc>
          <w:tcPr>
            <w:tcW w:w="1" w:type="dxa"/>
            <w:vAlign w:val="center"/>
            <w:shd w:val="clear" w:fill="white"/>
          </w:tcPr>
          <w:p>
            <w:pPr/>
            <w:r>
              <w:rPr/>
              <w:t xml:space="preserve">Il faut utiliser des opérations arithmétiques le plus explicites possibles (naturelles) et dans la logique du programme.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96</w:t>
            </w:r>
          </w:p>
        </w:tc>
        <w:tc>
          <w:tcPr>
            <w:tcW w:w="1" w:type="dxa"/>
            <w:vAlign w:val="center"/>
            <w:shd w:val="clear" w:fill="white"/>
          </w:tcPr>
          <w:p>
            <w:pPr/>
            <w:r>
              <w:rPr/>
              <w:t xml:space="preserve">RECOMMANDATION — Les opérateurs logiques ne doivent pas être appliqués avec des opérandes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97</w:t>
            </w:r>
          </w:p>
        </w:tc>
        <w:tc>
          <w:tcPr>
            <w:tcW w:w="1" w:type="dxa"/>
            <w:vAlign w:val="center"/>
            <w:shd w:val="clear" w:fill="white"/>
          </w:tcPr>
          <w:p>
            <w:pPr/>
            <w:r>
              <w:rPr/>
              <w:t xml:space="preserve">RÈGLE — Explicitation de l'ordre d'évaluation des calculs par utilisation de parenthèses</w:t>
            </w:r>
          </w:p>
        </w:tc>
        <w:tc>
          <w:tcPr>
            <w:tcW w:w="1" w:type="dxa"/>
            <w:vAlign w:val="center"/>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98</w:t>
            </w:r>
          </w:p>
        </w:tc>
        <w:tc>
          <w:tcPr>
            <w:tcW w:w="1" w:type="dxa"/>
            <w:vAlign w:val="center"/>
            <w:shd w:val="clear" w:fill="white"/>
          </w:tcPr>
          <w:p>
            <w:pPr/>
            <w:r>
              <w:rPr/>
              <w:t xml:space="preserve">RECOMMANDATION — Eviter les expressions de comparaison ou d'égalité multiple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99</w:t>
            </w:r>
          </w:p>
        </w:tc>
        <w:tc>
          <w:tcPr>
            <w:tcW w:w="1" w:type="dxa"/>
            <w:vAlign w:val="center"/>
            <w:shd w:val="clear" w:fill="white"/>
          </w:tcPr>
          <w:p>
            <w:pPr/>
            <w:r>
              <w:rPr/>
              <w:t xml:space="preserve">RÈGLE — Toujours utiliser les parenthèses dans les expressions de comparaison ou d'égalité multiple</w:t>
            </w:r>
          </w:p>
        </w:tc>
        <w:tc>
          <w:tcPr>
            <w:tcW w:w="1" w:type="dxa"/>
            <w:vAlign w:val="center"/>
            <w:shd w:val="clear" w:fill="white"/>
          </w:tcPr>
          <w:p>
            <w:pPr/>
            <w:r>
              <w:rPr/>
              <w:t xml:space="preserve">Les expressions booléennes de comparaison ou d’égalité contenant au moins 2 opérateurs relationnels sont interdites sans parenthèse.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100</w:t>
            </w:r>
          </w:p>
        </w:tc>
        <w:tc>
          <w:tcPr>
            <w:tcW w:w="1" w:type="dxa"/>
            <w:vAlign w:val="center"/>
            <w:shd w:val="clear" w:fill="white"/>
          </w:tcPr>
          <w:p>
            <w:pPr/>
            <w:r>
              <w:rPr/>
              <w:t xml:space="preserve">RÈGLE — Parenthèses autour des éléments d'une expression booléenne</w:t>
            </w:r>
          </w:p>
        </w:tc>
        <w:tc>
          <w:tcPr>
            <w:tcW w:w="1" w:type="dxa"/>
            <w:vAlign w:val="center"/>
            <w:shd w:val="clear" w:fill="white"/>
          </w:tcPr>
          <w:p>
            <w:pPr/>
            <w:r>
              <w:rPr/>
              <w:t xml:space="preserve">Il est nécessaire de toujours mettre entre parenthèses les différents éléments d’une expression booléenne, afin qu’il n’y ait aucune ambiguïté dans l’ordre d’évaluation.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101</w:t>
            </w:r>
          </w:p>
        </w:tc>
        <w:tc>
          <w:tcPr>
            <w:tcW w:w="1" w:type="dxa"/>
            <w:vAlign w:val="center"/>
            <w:shd w:val="clear" w:fill="white"/>
          </w:tcPr>
          <w:p>
            <w:pPr/>
            <w:r>
              <w:rPr/>
              <w:t xml:space="preserve">RÈGLE — Comparaison implicite avec 0 interdite</w:t>
            </w:r>
          </w:p>
        </w:tc>
        <w:tc>
          <w:tcPr>
            <w:tcW w:w="1" w:type="dxa"/>
            <w:vAlign w:val="center"/>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102</w:t>
            </w:r>
          </w:p>
        </w:tc>
        <w:tc>
          <w:tcPr>
            <w:tcW w:w="1" w:type="dxa"/>
            <w:vAlign w:val="center"/>
            <w:shd w:val="clear" w:fill="white"/>
          </w:tcPr>
          <w:p>
            <w:pPr/>
            <w:r>
              <w:rPr/>
              <w:t xml:space="preserve">RECOMMANDATION — Utilisation du type bool en C99</w:t>
            </w:r>
          </w:p>
        </w:tc>
        <w:tc>
          <w:tcPr>
            <w:tcW w:w="1" w:type="dxa"/>
            <w:vAlign w:val="center"/>
            <w:shd w:val="clear" w:fill="white"/>
          </w:tcPr>
          <w:p>
            <w:pPr/>
            <w:r>
              <w:rPr/>
              <w:t xml:space="preserve">En C99, le type bool (ou _Bool) doit être utilisé pour les variables à valeurs booléennes.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103</w:t>
            </w:r>
          </w:p>
        </w:tc>
        <w:tc>
          <w:tcPr>
            <w:tcW w:w="1" w:type="dxa"/>
            <w:vAlign w:val="center"/>
            <w:shd w:val="clear" w:fill="white"/>
          </w:tcPr>
          <w:p>
            <w:pPr/>
            <w:r>
              <w:rPr/>
              <w:t xml:space="preserve">RÈGLE — Pas d'opérateur bit-à-bit sur un opérande de type booléen ou assimilé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104</w:t>
            </w:r>
          </w:p>
        </w:tc>
        <w:tc>
          <w:tcPr>
            <w:tcW w:w="1" w:type="dxa"/>
            <w:vAlign w:val="center"/>
            <w:shd w:val="clear" w:fill="white"/>
          </w:tcPr>
          <w:p>
            <w:pPr/>
            <w:r>
              <w:rPr/>
              <w:t xml:space="preserve">BONNE PRATIQUE — Ne pas utiliser la valeur retournée lors d'une affectation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105</w:t>
            </w:r>
          </w:p>
        </w:tc>
        <w:tc>
          <w:tcPr>
            <w:tcW w:w="1" w:type="dxa"/>
            <w:vAlign w:val="center"/>
            <w:shd w:val="clear" w:fill="white"/>
          </w:tcPr>
          <w:p>
            <w:pPr/>
            <w:r>
              <w:rPr/>
              <w:t xml:space="preserve">RÈGLE — Affectation interdite dans une expression booléenne</w:t>
            </w:r>
          </w:p>
        </w:tc>
        <w:tc>
          <w:tcPr>
            <w:tcW w:w="1" w:type="dxa"/>
            <w:vAlign w:val="center"/>
            <w:shd w:val="clear" w:fill="white"/>
          </w:tcPr>
          <w:p>
            <w:pPr/>
            <w:r>
              <w:rPr/>
              <w:t xml:space="preserve">Une affectation ne doit pas être effectuée dans une expression booléenne quelle qu’elle soit. Une affectation doit être effectuée dans une instruction indépendante.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106</w:t>
            </w:r>
          </w:p>
        </w:tc>
        <w:tc>
          <w:tcPr>
            <w:tcW w:w="1" w:type="dxa"/>
            <w:vAlign w:val="center"/>
            <w:shd w:val="clear" w:fill="white"/>
          </w:tcPr>
          <w:p>
            <w:pPr/>
            <w:r>
              <w:rPr/>
              <w:t xml:space="preserve">BONNE PRATIQUE — Comparaison avec opérande constant à gauche</w:t>
            </w:r>
          </w:p>
        </w:tc>
        <w:tc>
          <w:tcPr>
            <w:tcW w:w="1" w:type="dxa"/>
            <w:vAlign w:val="center"/>
            <w:shd w:val="clear" w:fill="white"/>
          </w:tcPr>
          <w:p>
            <w:pPr/>
            <w:r>
              <w:rPr/>
              <w:t xml:space="preserve">Quand une comparaison fait intervenir un opérande constant celui-ci sera de préférence mis comme opérande gauche pour éviter une affectation non intentionnelle.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107</w:t>
            </w:r>
          </w:p>
        </w:tc>
        <w:tc>
          <w:tcPr>
            <w:tcW w:w="1" w:type="dxa"/>
            <w:vAlign w:val="center"/>
            <w:shd w:val="clear" w:fill="white"/>
          </w:tcPr>
          <w:p>
            <w:pPr/>
            <w:r>
              <w:rPr/>
              <w:t xml:space="preserve">RÈGLE — Affectation multiple de variables interdite</w:t>
            </w:r>
          </w:p>
        </w:tc>
        <w:tc>
          <w:tcPr>
            <w:tcW w:w="1" w:type="dxa"/>
            <w:vAlign w:val="center"/>
            <w:shd w:val="clear" w:fill="white"/>
          </w:tcPr>
          <w:p>
            <w:pPr/>
            <w:r>
              <w:rPr/>
              <w:t xml:space="preserve">L’affectation multiple de variables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RÈGLE — Une seule instruction par ligne de code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BONNE PRATIQUE — Éviter les constantes flottantes</w:t>
            </w:r>
          </w:p>
        </w:tc>
        <w:tc>
          <w:tcPr>
            <w:tcW w:w="1" w:type="dxa"/>
            <w:vAlign w:val="center"/>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110</w:t>
            </w:r>
          </w:p>
        </w:tc>
        <w:tc>
          <w:tcPr>
            <w:tcW w:w="1" w:type="dxa"/>
            <w:vAlign w:val="center"/>
            <w:shd w:val="clear" w:fill="white"/>
          </w:tcPr>
          <w:p>
            <w:pPr/>
            <w:r>
              <w:rPr/>
              <w:t xml:space="preserve">RECOMMANDATION — Limiter l'utilisation des nombres flottants au strict nécessaire</w:t>
            </w:r>
          </w:p>
        </w:tc>
        <w:tc>
          <w:tcPr>
            <w:tcW w:w="1" w:type="dxa"/>
            <w:vAlign w:val="center"/>
            <w:shd w:val="clear" w:fill="white"/>
          </w:tcPr>
          <w:p>
            <w:pPr/>
            <w:r>
              <w:rPr/>
              <w:t xml:space="preserve">Il faut limiter l’utilisation des nombres flottants.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111</w:t>
            </w:r>
          </w:p>
        </w:tc>
        <w:tc>
          <w:tcPr>
            <w:tcW w:w="1" w:type="dxa"/>
            <w:vAlign w:val="center"/>
            <w:shd w:val="clear" w:fill="white"/>
          </w:tcPr>
          <w:p>
            <w:pPr/>
            <w:r>
              <w:rPr/>
              <w:t xml:space="preserve">RÈGLE — Pas de compteur de boucle de type flottant</w:t>
            </w:r>
          </w:p>
        </w:tc>
        <w:tc>
          <w:tcPr>
            <w:tcW w:w="1" w:type="dxa"/>
            <w:vAlign w:val="center"/>
            <w:shd w:val="clear" w:fill="white"/>
          </w:tcPr>
          <w:p>
            <w:pPr/>
            <w:r>
              <w:rPr/>
              <w:t xml:space="preserve">Les compteurs de boucle doivent être uniquement de type entier, avec la vérification de non débordement de type des valeurs des compteurs.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112</w:t>
            </w:r>
          </w:p>
        </w:tc>
        <w:tc>
          <w:tcPr>
            <w:tcW w:w="1" w:type="dxa"/>
            <w:vAlign w:val="center"/>
            <w:shd w:val="clear" w:fill="white"/>
          </w:tcPr>
          <w:p>
            <w:pPr/>
            <w:r>
              <w:rPr/>
              <w:t xml:space="preserve">RÈGLE — Ne pas utiliser de nombres flottants pour des comparaisons d'égalité ou d'inégalité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113</w:t>
            </w:r>
          </w:p>
        </w:tc>
        <w:tc>
          <w:tcPr>
            <w:tcW w:w="1" w:type="dxa"/>
            <w:vAlign w:val="center"/>
            <w:shd w:val="clear" w:fill="white"/>
          </w:tcPr>
          <w:p>
            <w:pPr/>
            <w:r>
              <w:rPr/>
              <w:t xml:space="preserve">RECOMMANDATION — Non utilisation des nombres complexes</w:t>
            </w:r>
          </w:p>
        </w:tc>
        <w:tc>
          <w:tcPr>
            <w:tcW w:w="1" w:type="dxa"/>
            <w:vAlign w:val="center"/>
            <w:shd w:val="clear" w:fill="white"/>
          </w:tcPr>
          <w:p>
            <w:pPr/>
            <w:r>
              <w:rPr/>
              <w:t xml:space="preserve">Les nombres complexes introduits depuis C99 ne doivent pas être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114</w:t>
            </w:r>
          </w:p>
        </w:tc>
        <w:tc>
          <w:tcPr>
            <w:tcW w:w="1" w:type="dxa"/>
            <w:vAlign w:val="center"/>
            <w:shd w:val="clear" w:fill="white"/>
          </w:tcPr>
          <w:p>
            <w:pPr/>
            <w:r>
              <w:rPr/>
              <w:t xml:space="preserve">RÈGLE — Utilisation systématique des accolades pour les conditionnelles et les boucles</w:t>
            </w:r>
          </w:p>
        </w:tc>
        <w:tc>
          <w:tcPr>
            <w:tcW w:w="1" w:type="dxa"/>
            <w:vAlign w:val="center"/>
            <w:shd w:val="clear" w:fill="white"/>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115</w:t>
            </w:r>
          </w:p>
        </w:tc>
        <w:tc>
          <w:tcPr>
            <w:tcW w:w="1" w:type="dxa"/>
            <w:vAlign w:val="center"/>
            <w:shd w:val="clear" w:fill="white"/>
          </w:tcPr>
          <w:p>
            <w:pPr/>
            <w:r>
              <w:rPr/>
              <w:t xml:space="preserve">RÈGLE — Définition systématique d'un cas par défaut dans les switch</w:t>
            </w:r>
          </w:p>
        </w:tc>
        <w:tc>
          <w:tcPr>
            <w:tcW w:w="1" w:type="dxa"/>
            <w:vAlign w:val="center"/>
            <w:shd w:val="clear" w:fill="white"/>
          </w:tcPr>
          <w:p>
            <w:pPr/>
            <w:r>
              <w:rPr/>
              <w:t xml:space="preserve">Un switch-case doit toujours contenir un cas default placé en dernier.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116</w:t>
            </w:r>
          </w:p>
        </w:tc>
        <w:tc>
          <w:tcPr>
            <w:tcW w:w="1" w:type="dxa"/>
            <w:vAlign w:val="center"/>
            <w:shd w:val="clear" w:fill="white"/>
          </w:tcPr>
          <w:p>
            <w:pPr/>
            <w:r>
              <w:rPr/>
              <w:t xml:space="preserve">RECOMMANDATION — Utilisation de break dans chaque cas des instructions switch</w:t>
            </w:r>
          </w:p>
        </w:tc>
        <w:tc>
          <w:tcPr>
            <w:tcW w:w="1" w:type="dxa"/>
            <w:vAlign w:val="center"/>
            <w:shd w:val="clear" w:fill="white"/>
          </w:tcPr>
          <w:p>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117</w:t>
            </w:r>
          </w:p>
        </w:tc>
        <w:tc>
          <w:tcPr>
            <w:tcW w:w="1" w:type="dxa"/>
            <w:vAlign w:val="center"/>
            <w:shd w:val="clear" w:fill="white"/>
          </w:tcPr>
          <w:p>
            <w:pPr/>
            <w:r>
              <w:rPr/>
              <w:t xml:space="preserve">RECOMMANDATION — Pas d'imbrication de structure de contrôle dans un switch-case</w:t>
            </w:r>
          </w:p>
        </w:tc>
        <w:tc>
          <w:tcPr>
            <w:tcW w:w="1" w:type="dxa"/>
            <w:vAlign w:val="center"/>
            <w:shd w:val="clear" w:fill="white"/>
          </w:tcPr>
          <w:p>
            <w:pPr/>
            <w:r>
              <w:rPr/>
              <w:t xml:space="preserve"> Même si le C l’autorise, l’imbrication de structures de contrôle à l’intérieur d’un switch est à éviter.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118</w:t>
            </w:r>
          </w:p>
        </w:tc>
        <w:tc>
          <w:tcPr>
            <w:tcW w:w="1" w:type="dxa"/>
            <w:vAlign w:val="center"/>
            <w:shd w:val="clear" w:fill="white"/>
          </w:tcPr>
          <w:p>
            <w:pPr/>
            <w:r>
              <w:rPr/>
              <w:t xml:space="preserve">RÈGLE — Ne pas introduire d'instructions avant le premier label d'un switch-case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119</w:t>
            </w:r>
          </w:p>
        </w:tc>
        <w:tc>
          <w:tcPr>
            <w:tcW w:w="1" w:type="dxa"/>
            <w:vAlign w:val="center"/>
            <w:shd w:val="clear" w:fill="white"/>
          </w:tcPr>
          <w:p>
            <w:pPr/>
            <w:r>
              <w:rPr/>
              <w:t xml:space="preserve">RÈGLE — Bonne construction des boucles for</w:t>
            </w:r>
          </w:p>
        </w:tc>
        <w:tc>
          <w:tcPr>
            <w:tcW w:w="1" w:type="dxa"/>
            <w:vAlign w:val="center"/>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120</w:t>
            </w:r>
          </w:p>
        </w:tc>
        <w:tc>
          <w:tcPr>
            <w:tcW w:w="1" w:type="dxa"/>
            <w:vAlign w:val="center"/>
            <w:shd w:val="clear" w:fill="white"/>
          </w:tcPr>
          <w:p>
            <w:pPr/>
            <w:r>
              <w:rPr/>
              <w:t xml:space="preserve">RÈGLE — Modification d'un compteur d'une boucle for interdite dans le corps de la boucle</w:t>
            </w:r>
          </w:p>
        </w:tc>
        <w:tc>
          <w:tcPr>
            <w:tcW w:w="1" w:type="dxa"/>
            <w:vAlign w:val="center"/>
            <w:shd w:val="clear" w:fill="white"/>
          </w:tcPr>
          <w:p>
            <w:pPr/>
            <w:r>
              <w:rPr/>
              <w:t xml:space="preserve">Le compteur d’une boucle for ne doit pas être modifié à l’intérieur du corps de la boucle for.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121</w:t>
            </w:r>
          </w:p>
        </w:tc>
        <w:tc>
          <w:tcPr>
            <w:tcW w:w="1" w:type="dxa"/>
            <w:vAlign w:val="center"/>
            <w:shd w:val="clear" w:fill="white"/>
          </w:tcPr>
          <w:p>
            <w:pPr/>
            <w:r>
              <w:rPr/>
              <w:t xml:space="preserve">RÈGLE — Non utilisation de goto arrière (backward goto)</w:t>
            </w:r>
          </w:p>
        </w:tc>
        <w:tc>
          <w:tcPr>
            <w:tcW w:w="1" w:type="dxa"/>
            <w:vAlign w:val="center"/>
            <w:shd w:val="clear" w:fill="white"/>
          </w:tcPr>
          <w:p>
            <w:pPr/>
            <w:r>
              <w:rPr/>
              <w:t xml:space="preserve">Proscrire, au sein d’une fonction, l’utilisation d’instructions goto renvoyant vers un label qui est placé avant cette instruction goto.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122</w:t>
            </w:r>
          </w:p>
        </w:tc>
        <w:tc>
          <w:tcPr>
            <w:tcW w:w="1" w:type="dxa"/>
            <w:vAlign w:val="center"/>
            <w:shd w:val="clear" w:fill="white"/>
          </w:tcPr>
          <w:p>
            <w:pPr/>
            <w:r>
              <w:rPr/>
              <w:t xml:space="preserve">RECOMMANDATION — Utilisation limitée du saut avant (forward goto)</w:t>
            </w:r>
          </w:p>
        </w:tc>
        <w:tc>
          <w:tcPr>
            <w:tcW w:w="1" w:type="dxa"/>
            <w:vAlign w:val="center"/>
            <w:shd w:val="clear" w:fill="white"/>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123</w:t>
            </w:r>
          </w:p>
        </w:tc>
        <w:tc>
          <w:tcPr>
            <w:tcW w:w="1" w:type="dxa"/>
            <w:vAlign w:val="center"/>
            <w:shd w:val="clear" w:fill="white"/>
          </w:tcPr>
          <w:p>
            <w:pPr/>
            <w:r>
              <w:rPr/>
              <w:t xml:space="preserve">RÈGLE — Toute fonction (non static) définie doit possèder une déclaration/ prototype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124</w:t>
            </w:r>
          </w:p>
        </w:tc>
        <w:tc>
          <w:tcPr>
            <w:tcW w:w="1" w:type="dxa"/>
            <w:vAlign w:val="center"/>
            <w:shd w:val="clear" w:fill="white"/>
          </w:tcPr>
          <w:p>
            <w:pPr/>
            <w:r>
              <w:rPr/>
              <w:t xml:space="preserve">RÈGLE — Le prototype de déclaration d'une fonction doit concorder avec sa définition</w:t>
            </w:r>
          </w:p>
        </w:tc>
        <w:tc>
          <w:tcPr>
            <w:tcW w:w="1" w:type="dxa"/>
            <w:vAlign w:val="center"/>
            <w:shd w:val="clear" w:fill="white"/>
          </w:tcPr>
          <w:p>
            <w:pPr/>
            <w:r>
              <w:rPr/>
              <w:t xml:space="preserve">Les types des paramètres utilisés pour la définition et la déclaration d’une fonction doivent être les mêmes.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125</w:t>
            </w:r>
          </w:p>
        </w:tc>
        <w:tc>
          <w:tcPr>
            <w:tcW w:w="1" w:type="dxa"/>
            <w:vAlign w:val="center"/>
            <w:shd w:val="clear" w:fill="white"/>
          </w:tcPr>
          <w:p>
            <w:pPr/>
            <w:r>
              <w:rPr/>
              <w:t xml:space="preserve">RÈGLE — Toute fonction doit être associée à un type de retour et à une liste de paramètres explicite</w:t>
            </w:r>
          </w:p>
        </w:tc>
        <w:tc>
          <w:tcPr>
            <w:tcW w:w="1" w:type="dxa"/>
            <w:vAlign w:val="center"/>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126</w:t>
            </w:r>
          </w:p>
        </w:tc>
        <w:tc>
          <w:tcPr>
            <w:tcW w:w="1" w:type="dxa"/>
            <w:vAlign w:val="center"/>
            <w:shd w:val="clear" w:fill="white"/>
          </w:tcPr>
          <w:p>
            <w:pPr/>
            <w:r>
              <w:rPr/>
              <w:t xml:space="preserve">RECOMMANDATION — Documentation des fonctions</w:t>
            </w:r>
          </w:p>
        </w:tc>
        <w:tc>
          <w:tcPr>
            <w:tcW w:w="1" w:type="dxa"/>
            <w:vAlign w:val="center"/>
            <w:shd w:val="clear" w:fill="white"/>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127</w:t>
            </w:r>
          </w:p>
        </w:tc>
        <w:tc>
          <w:tcPr>
            <w:tcW w:w="1" w:type="dxa"/>
            <w:vAlign w:val="center"/>
            <w:shd w:val="clear" w:fill="white"/>
          </w:tcPr>
          <w:p>
            <w:pPr/>
            <w:r>
              <w:rPr/>
              <w:t xml:space="preserve">RECOMMANDATION — Préciser les conditions d'appel pour chaque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128</w:t>
            </w:r>
          </w:p>
        </w:tc>
        <w:tc>
          <w:tcPr>
            <w:tcW w:w="1" w:type="dxa"/>
            <w:vAlign w:val="center"/>
            <w:shd w:val="clear" w:fill="white"/>
          </w:tcPr>
          <w:p>
            <w:pPr/>
            <w:r>
              <w:rPr/>
              <w:t xml:space="preserve">RÈGLE — La validité de tous les paramètres d'une fonction doit systématiquement être remise en cause</w:t>
            </w:r>
          </w:p>
        </w:tc>
        <w:tc>
          <w:tcPr>
            <w:tcW w:w="1" w:type="dxa"/>
            <w:vAlign w:val="center"/>
            <w:shd w:val="clear" w:fill="white"/>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129</w:t>
            </w:r>
          </w:p>
        </w:tc>
        <w:tc>
          <w:tcPr>
            <w:tcW w:w="1" w:type="dxa"/>
            <w:vAlign w:val="center"/>
            <w:shd w:val="clear" w:fill="white"/>
          </w:tcPr>
          <w:p>
            <w:pPr/>
            <w:r>
              <w:rPr/>
              <w:t xml:space="preserve">RÈGLE — Les paramètres de fonction de type pointeur pour lesquels la zone mémoire pointée n'est pas </w:t>
            </w:r>
          </w:p>
        </w:tc>
        <w:tc>
          <w:tcPr>
            <w:tcW w:w="1" w:type="dxa"/>
            <w:vAlign w:val="center"/>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130</w:t>
            </w:r>
          </w:p>
        </w:tc>
        <w:tc>
          <w:tcPr>
            <w:tcW w:w="1" w:type="dxa"/>
            <w:vAlign w:val="center"/>
            <w:shd w:val="clear" w:fill="white"/>
          </w:tcPr>
          <w:p>
            <w:pPr/>
            <w:r>
              <w:rPr/>
              <w:t xml:space="preserve">RÈGLE — Les fonctions inline doivent être déclarées comme static</w:t>
            </w:r>
          </w:p>
        </w:tc>
        <w:tc>
          <w:tcPr>
            <w:tcW w:w="1" w:type="dxa"/>
            <w:vAlign w:val="center"/>
            <w:shd w:val="clear" w:fill="white"/>
          </w:tcPr>
          <w:p>
            <w:pPr/>
            <w:r>
              <w:rPr/>
              <w:t xml:space="preserve">Pour éviter un comportement non défini une fonction inline est systématiquement static.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131</w:t>
            </w:r>
          </w:p>
        </w:tc>
        <w:tc>
          <w:tcPr>
            <w:tcW w:w="1" w:type="dxa"/>
            <w:vAlign w:val="center"/>
            <w:shd w:val="clear" w:fill="white"/>
          </w:tcPr>
          <w:p>
            <w:pPr/>
            <w:r>
              <w:rPr/>
              <w:t xml:space="preserve">RÈGLE — Interdiction de redéfinir les fonctions ou macros de la bibliothèque standard ou d'une autre</w:t>
            </w:r>
          </w:p>
        </w:tc>
        <w:tc>
          <w:tcPr>
            <w:tcW w:w="1" w:type="dxa"/>
            <w:vAlign w:val="center"/>
            <w:shd w:val="clear" w:fill="white"/>
          </w:tcPr>
          <w:p>
            <w:pPr/>
            <w:r>
              <w:rPr/>
              <w:t xml:space="preserve">Les identifiants, macros ou noms de fonctions faisant partie de la bibliothèque standard ou d’une autre bibliothèque utilisée ne doivent pas être redéfinis.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132</w:t>
            </w:r>
          </w:p>
        </w:tc>
        <w:tc>
          <w:tcPr>
            <w:tcW w:w="1" w:type="dxa"/>
            <w:vAlign w:val="center"/>
            <w:shd w:val="clear" w:fill="white"/>
          </w:tcPr>
          <w:p>
            <w:pPr/>
            <w:r>
              <w:rPr/>
              <w:t xml:space="preserve">RÈGLE — La valeur de retour d'une fonction doit toujours être testée</w:t>
            </w:r>
          </w:p>
        </w:tc>
        <w:tc>
          <w:tcPr>
            <w:tcW w:w="1" w:type="dxa"/>
            <w:vAlign w:val="center"/>
            <w:shd w:val="clear" w:fill="white"/>
          </w:tcPr>
          <w:p>
            <w:pPr/>
            <w:r>
              <w:rPr/>
              <w:t xml:space="preserve">Lorsqu’une fonction retourne une valeur, la valeur retournée doit être systématiquement testée.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133</w:t>
            </w:r>
          </w:p>
        </w:tc>
        <w:tc>
          <w:tcPr>
            <w:tcW w:w="1" w:type="dxa"/>
            <w:vAlign w:val="center"/>
            <w:shd w:val="clear" w:fill="white"/>
          </w:tcPr>
          <w:p>
            <w:pPr/>
            <w:r>
              <w:rPr/>
              <w:t xml:space="preserve">RÈGLE — Retour implicite interdit pour les fonctions de type non void</w:t>
            </w:r>
          </w:p>
        </w:tc>
        <w:tc>
          <w:tcPr>
            <w:tcW w:w="1" w:type="dxa"/>
            <w:vAlign w:val="center"/>
            <w:shd w:val="clear" w:fill="white"/>
          </w:tcPr>
          <w:p>
            <w:pPr/>
            <w:r>
              <w:rPr/>
              <w:t xml:space="preserve">Tous les chemins d’une fonction non void doivent retourner une valeur explicitement.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134</w:t>
            </w:r>
          </w:p>
        </w:tc>
        <w:tc>
          <w:tcPr>
            <w:tcW w:w="1" w:type="dxa"/>
            <w:vAlign w:val="center"/>
            <w:shd w:val="clear" w:fill="white"/>
          </w:tcPr>
          <w:p>
            <w:pPr/>
            <w:r>
              <w:rPr/>
              <w:t xml:space="preserve">RÈGLE — Les structures doivent être passées par référence à une fonction</w:t>
            </w:r>
          </w:p>
        </w:tc>
        <w:tc>
          <w:tcPr>
            <w:tcW w:w="1" w:type="dxa"/>
            <w:vAlign w:val="center"/>
            <w:shd w:val="clear" w:fill="white"/>
          </w:tcPr>
          <w:p>
            <w:pPr/>
            <w:r>
              <w:rPr/>
              <w:t xml:space="preserve">Il ne faut pas passer de paramètres de type structure par copie lors de l’appel d’une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135</w:t>
            </w:r>
          </w:p>
        </w:tc>
        <w:tc>
          <w:tcPr>
            <w:tcW w:w="1" w:type="dxa"/>
            <w:vAlign w:val="center"/>
            <w:shd w:val="clear" w:fill="white"/>
          </w:tcPr>
          <w:p>
            <w:pPr/>
            <w:r>
              <w:rPr/>
              <w:t xml:space="preserve">RECOMMANDATION — Passage d'un tableau en paramètre d'une fonction</w:t>
            </w:r>
          </w:p>
        </w:tc>
        <w:tc>
          <w:tcPr>
            <w:tcW w:w="1" w:type="dxa"/>
            <w:vAlign w:val="center"/>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136</w:t>
            </w:r>
          </w:p>
        </w:tc>
        <w:tc>
          <w:tcPr>
            <w:tcW w:w="1" w:type="dxa"/>
            <w:vAlign w:val="center"/>
            <w:shd w:val="clear" w:fill="white"/>
          </w:tcPr>
          <w:p>
            <w:pPr/>
            <w:r>
              <w:rPr/>
              <w:t xml:space="preserve">RECOMMANDATION — Utilisation obligatoire dans une fonction de tous ses paramètres</w:t>
            </w:r>
          </w:p>
        </w:tc>
        <w:tc>
          <w:tcPr>
            <w:tcW w:w="1" w:type="dxa"/>
            <w:vAlign w:val="center"/>
            <w:shd w:val="clear" w:fill="white"/>
          </w:tcPr>
          <w:p>
            <w:pPr/>
            <w:r>
              <w:rPr/>
              <w:t xml:space="preserve">Tous les paramètres présents dans le prototype de la fonction doivent être utilisés dans son implémentation.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137</w:t>
            </w:r>
          </w:p>
        </w:tc>
        <w:tc>
          <w:tcPr>
            <w:tcW w:w="1" w:type="dxa"/>
            <w:vAlign w:val="center"/>
            <w:shd w:val="clear" w:fill="white"/>
          </w:tcPr>
          <w:p>
            <w:pPr/>
            <w:r>
              <w:rPr/>
              <w:t xml:space="preserve">BONNE PRATIQUE — Utiliser les options de compilation -Wformat=2 et -Wformat-security dès qu'une fonc</w:t>
            </w:r>
          </w:p>
        </w:tc>
        <w:tc>
          <w:tcPr>
            <w:tcW w:w="1" w:type="dxa"/>
            <w:vAlign w:val="center"/>
            <w:shd w:val="clear" w:fill="white"/>
          </w:tcPr>
          <w:p>
            <w:pPr/>
            <w:r>
              <w:rPr/>
              <w:t xml:space="preserve">Plus de détails sur ces options sont données en annexe B.</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138</w:t>
            </w:r>
          </w:p>
        </w:tc>
        <w:tc>
          <w:tcPr>
            <w:tcW w:w="1" w:type="dxa"/>
            <w:vAlign w:val="center"/>
            <w:shd w:val="clear" w:fill="white"/>
          </w:tcPr>
          <w:p>
            <w:pPr/>
            <w:r>
              <w:rPr/>
              <w:t xml:space="preserve">RÈGLE — Ne pas appeler de fonctions variadiques avec NULL en argument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139</w:t>
            </w:r>
          </w:p>
        </w:tc>
        <w:tc>
          <w:tcPr>
            <w:tcW w:w="1" w:type="dxa"/>
            <w:vAlign w:val="center"/>
            <w:shd w:val="clear" w:fill="white"/>
          </w:tcPr>
          <w:p>
            <w:pPr/>
            <w:r>
              <w:rPr/>
              <w:t xml:space="preserve">RÈGLE — Usage de la virgule interdit pour le séquencement d'instructions</w:t>
            </w:r>
          </w:p>
        </w:tc>
        <w:tc>
          <w:tcPr>
            <w:tcW w:w="1" w:type="dxa"/>
            <w:vAlign w:val="center"/>
            <w:shd w:val="clear" w:fill="white"/>
          </w:tcPr>
          <w:p>
            <w:pPr/>
            <w:r>
              <w:rPr/>
              <w:t xml:space="preserve">La virgule n’est pas autorisée dans le cadre du séquencement des instructions decode.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140</w:t>
            </w:r>
          </w:p>
        </w:tc>
        <w:tc>
          <w:tcPr>
            <w:tcW w:w="1" w:type="dxa"/>
            <w:vAlign w:val="center"/>
            <w:shd w:val="clear" w:fill="white"/>
          </w:tcPr>
          <w:p>
            <w:pPr/>
            <w:r>
              <w:rPr/>
              <w:t xml:space="preserve">RECOMMANDATION — Les opérateurs pré-fixes ++ et -- ne doivent pas être utilisés</w:t>
            </w:r>
          </w:p>
        </w:tc>
        <w:tc>
          <w:tcPr>
            <w:tcW w:w="1" w:type="dxa"/>
            <w:vAlign w:val="center"/>
            <w:shd w:val="clear" w:fill="white"/>
          </w:tcPr>
          <w:p>
            <w:pPr/>
            <w:r>
              <w:rPr/>
              <w:t xml:space="preserve">Les opérateurs de pré-incrémentation et pré-decrémentation ne seront pas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141</w:t>
            </w:r>
          </w:p>
        </w:tc>
        <w:tc>
          <w:tcPr>
            <w:tcW w:w="1" w:type="dxa"/>
            <w:vAlign w:val="center"/>
            <w:shd w:val="clear" w:fill="white"/>
          </w:tcPr>
          <w:p>
            <w:pPr/>
            <w:r>
              <w:rPr/>
              <w:t xml:space="preserve">RECOMMANDATION — Pas d'utilisation combinée des opérateurs postfixes avec d'autres opérateurs</w:t>
            </w:r>
          </w:p>
        </w:tc>
        <w:tc>
          <w:tcPr>
            <w:tcW w:w="1" w:type="dxa"/>
            <w:vAlign w:val="center"/>
            <w:shd w:val="clear" w:fill="white"/>
          </w:tcPr>
          <w:p>
            <w:pPr/>
            <w:r>
              <w:rPr/>
              <w:t xml:space="preserve">Les opérateurs de post-incrémentation et de post-décrémentation ne doivent pas être mixés avec d’autres opérateurs.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142</w:t>
            </w:r>
          </w:p>
        </w:tc>
        <w:tc>
          <w:tcPr>
            <w:tcW w:w="1" w:type="dxa"/>
            <w:vAlign w:val="center"/>
            <w:shd w:val="clear" w:fill="white"/>
          </w:tcPr>
          <w:p>
            <w:pPr/>
            <w:r>
              <w:rPr/>
              <w:t xml:space="preserve">RECOMMANDATION — Éviter l'utilisation d'opérateurs d'affectation combinés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143</w:t>
            </w:r>
          </w:p>
        </w:tc>
        <w:tc>
          <w:tcPr>
            <w:tcW w:w="1" w:type="dxa"/>
            <w:vAlign w:val="center"/>
            <w:shd w:val="clear" w:fill="white"/>
          </w:tcPr>
          <w:p>
            <w:pPr/>
            <w:r>
              <w:rPr/>
              <w:t xml:space="preserve">RÈGLE — Non utilisation imbriquée de l'opérateur ternaire ?:</w:t>
            </w:r>
          </w:p>
        </w:tc>
        <w:tc>
          <w:tcPr>
            <w:tcW w:w="1" w:type="dxa"/>
            <w:vAlign w:val="center"/>
            <w:shd w:val="clear" w:fill="white"/>
          </w:tcPr>
          <w:p>
            <w:pPr/>
            <w:r>
              <w:rPr/>
              <w:t xml:space="preserve">L’imbrication d’opérateurs ternaires ?: est interdite.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144</w:t>
            </w:r>
          </w:p>
        </w:tc>
        <w:tc>
          <w:tcPr>
            <w:tcW w:w="1" w:type="dxa"/>
            <w:vAlign w:val="center"/>
            <w:shd w:val="clear" w:fill="white"/>
          </w:tcPr>
          <w:p>
            <w:pPr/>
            <w:r>
              <w:rPr/>
              <w:t xml:space="preserve">RÈGLE — Bonne construction des expressions avec l'opérateur ternaire ?:</w:t>
            </w:r>
          </w:p>
        </w:tc>
        <w:tc>
          <w:tcPr>
            <w:tcW w:w="1" w:type="dxa"/>
            <w:vAlign w:val="center"/>
            <w:shd w:val="clear" w:fill="white"/>
          </w:tcPr>
          <w:p>
            <w:pPr/>
            <w:r>
              <w:rPr/>
              <w:t xml:space="preserve">Les expressions résultantes de l’opérateur ternaire ?: doivent être exactement de même type pour éviter tout transtypage.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145</w:t>
            </w:r>
          </w:p>
        </w:tc>
        <w:tc>
          <w:tcPr>
            <w:tcW w:w="1" w:type="dxa"/>
            <w:vAlign w:val="center"/>
            <w:shd w:val="clear" w:fill="white"/>
          </w:tcPr>
          <w:p>
            <w:pPr/>
            <w:r>
              <w:rPr/>
              <w:t xml:space="preserve">RÈGLE — Allouer dynamiquement un espace mémoire dont la taille est suffisante pour l'objet alloué</w:t>
            </w:r>
          </w:p>
        </w:tc>
        <w:tc>
          <w:tcPr>
            <w:tcW w:w="1" w:type="dxa"/>
            <w:vAlign w:val="center"/>
            <w:shd w:val="clear" w:fill="white"/>
          </w:tcPr>
          <w:p>
            <w:pPr/>
            <w:r>
              <w:rPr/>
              <w:t xml:space="preserve">Pour un pointeur ptr, on préférera utiliser ptr=malloc(sizeof(*ptr)); quand cela est possible.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146</w:t>
            </w:r>
          </w:p>
        </w:tc>
        <w:tc>
          <w:tcPr>
            <w:tcW w:w="1" w:type="dxa"/>
            <w:vAlign w:val="center"/>
            <w:shd w:val="clear" w:fill="white"/>
          </w:tcPr>
          <w:p>
            <w:pPr/>
            <w:r>
              <w:rPr/>
              <w:t xml:space="preserve">RÈGLE — Libérer la mémoire allouée dynamiquement au plus tôt</w:t>
            </w:r>
          </w:p>
        </w:tc>
        <w:tc>
          <w:tcPr>
            <w:tcW w:w="1" w:type="dxa"/>
            <w:vAlign w:val="center"/>
            <w:shd w:val="clear" w:fill="white"/>
          </w:tcPr>
          <w:p>
            <w:pPr/>
            <w:r>
              <w:rPr/>
              <w:t xml:space="preserve">Tout espace mémoire alloué dynamiquement doit être libéré quand celui-ci n’est plus utile.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147</w:t>
            </w:r>
          </w:p>
        </w:tc>
        <w:tc>
          <w:tcPr>
            <w:tcW w:w="1" w:type="dxa"/>
            <w:vAlign w:val="center"/>
            <w:shd w:val="clear" w:fill="white"/>
          </w:tcPr>
          <w:p>
            <w:pPr/>
            <w:r>
              <w:rPr/>
              <w:t xml:space="preserve">RÈGLE — Les zones mémoires sensibles doivent être mises à zéro avant d'être libérées.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148</w:t>
            </w:r>
          </w:p>
        </w:tc>
        <w:tc>
          <w:tcPr>
            <w:tcW w:w="1" w:type="dxa"/>
            <w:vAlign w:val="center"/>
            <w:shd w:val="clear" w:fill="white"/>
          </w:tcPr>
          <w:p>
            <w:pPr/>
            <w:r>
              <w:rPr/>
              <w:t xml:space="preserve">RÈGLE — Ne pas libérer de mémoire non allouée dynamiquement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149</w:t>
            </w:r>
          </w:p>
        </w:tc>
        <w:tc>
          <w:tcPr>
            <w:tcW w:w="1" w:type="dxa"/>
            <w:vAlign w:val="center"/>
            <w:shd w:val="clear" w:fill="white"/>
          </w:tcPr>
          <w:p>
            <w:pPr/>
            <w:r>
              <w:rPr/>
              <w:t xml:space="preserve">RÈGLE — Ne pas modifier l'allocation dynamique via realloc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150</w:t>
            </w:r>
          </w:p>
        </w:tc>
        <w:tc>
          <w:tcPr>
            <w:tcW w:w="1" w:type="dxa"/>
            <w:vAlign w:val="center"/>
            <w:shd w:val="clear" w:fill="white"/>
          </w:tcPr>
          <w:p>
            <w:pPr/>
            <w:r>
              <w:rPr/>
              <w:t xml:space="preserve">RÈGLE — Bonne utilisation de l'opérateur sizeof</w:t>
            </w:r>
          </w:p>
        </w:tc>
        <w:tc>
          <w:tcPr>
            <w:tcW w:w="1" w:type="dxa"/>
            <w:vAlign w:val="center"/>
            <w:shd w:val="clear" w:fill="white"/>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151</w:t>
            </w:r>
          </w:p>
        </w:tc>
        <w:tc>
          <w:tcPr>
            <w:tcW w:w="1" w:type="dxa"/>
            <w:vAlign w:val="center"/>
            <w:shd w:val="clear" w:fill="white"/>
          </w:tcPr>
          <w:p>
            <w:pPr/>
            <w:r>
              <w:rPr/>
              <w:t xml:space="preserve">RÈGLE — Vérification obligatoire du succès d'une allocation mémoire</w:t>
            </w:r>
          </w:p>
        </w:tc>
        <w:tc>
          <w:tcPr>
            <w:tcW w:w="1" w:type="dxa"/>
            <w:vAlign w:val="center"/>
            <w:shd w:val="clear" w:fill="white"/>
          </w:tcPr>
          <w:p>
            <w:pPr/>
            <w:r>
              <w:rPr/>
              <w:t xml:space="preserve">Le succès d’une allocation mémoire doit toujours être vérifié.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152</w:t>
            </w:r>
          </w:p>
        </w:tc>
        <w:tc>
          <w:tcPr>
            <w:tcW w:w="1" w:type="dxa"/>
            <w:vAlign w:val="center"/>
            <w:shd w:val="clear" w:fill="white"/>
          </w:tcPr>
          <w:p>
            <w:pPr/>
            <w:r>
              <w:rPr/>
              <w:t xml:space="preserve">RÈGLE — L'isolement des données sensibles doit être effectué</w:t>
            </w:r>
          </w:p>
        </w:tc>
        <w:tc>
          <w:tcPr>
            <w:tcW w:w="1" w:type="dxa"/>
            <w:vAlign w:val="center"/>
            <w:shd w:val="clear" w:fill="white"/>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153</w:t>
            </w:r>
          </w:p>
        </w:tc>
        <w:tc>
          <w:tcPr>
            <w:tcW w:w="1" w:type="dxa"/>
            <w:vAlign w:val="center"/>
            <w:shd w:val="clear" w:fill="white"/>
          </w:tcPr>
          <w:p>
            <w:pPr/>
            <w:r>
              <w:rPr/>
              <w:t xml:space="preserve">RÈGLE — Initialiser et consulter la valeur de errno avant et après toute exécution d'une fonction 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154</w:t>
            </w:r>
          </w:p>
        </w:tc>
        <w:tc>
          <w:tcPr>
            <w:tcW w:w="1" w:type="dxa"/>
            <w:vAlign w:val="center"/>
            <w:shd w:val="clear" w:fill="white"/>
          </w:tcPr>
          <w:p>
            <w:pPr/>
            <w:r>
              <w:rPr/>
              <w:t xml:space="preserve">RÈGLE — La gestion des erreurs retournées par une fonction de la bibliothèque standard doit être sys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155</w:t>
            </w:r>
          </w:p>
        </w:tc>
        <w:tc>
          <w:tcPr>
            <w:tcW w:w="1" w:type="dxa"/>
            <w:vAlign w:val="center"/>
            <w:shd w:val="clear" w:fill="white"/>
          </w:tcPr>
          <w:p>
            <w:pPr/>
            <w:r>
              <w:rPr/>
              <w:t xml:space="preserve">RÈGLE — Documentation des codes d'erreur</w:t>
            </w:r>
          </w:p>
        </w:tc>
        <w:tc>
          <w:tcPr>
            <w:tcW w:w="1" w:type="dxa"/>
            <w:vAlign w:val="center"/>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156</w:t>
            </w:r>
          </w:p>
        </w:tc>
        <w:tc>
          <w:tcPr>
            <w:tcW w:w="1" w:type="dxa"/>
            <w:vAlign w:val="center"/>
            <w:shd w:val="clear" w:fill="white"/>
          </w:tcPr>
          <w:p>
            <w:pPr/>
            <w:r>
              <w:rPr/>
              <w:t xml:space="preserve">RECOMMANDATION — Structuration des codes de retour</w:t>
            </w:r>
          </w:p>
        </w:tc>
        <w:tc>
          <w:tcPr>
            <w:tcW w:w="1" w:type="dxa"/>
            <w:vAlign w:val="center"/>
            <w:shd w:val="clear" w:fill="white"/>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157</w:t>
            </w:r>
          </w:p>
        </w:tc>
        <w:tc>
          <w:tcPr>
            <w:tcW w:w="1" w:type="dxa"/>
            <w:vAlign w:val="center"/>
            <w:shd w:val="clear" w:fill="white"/>
          </w:tcPr>
          <w:p>
            <w:pPr/>
            <w:r>
              <w:rPr/>
              <w:t xml:space="preserve">RÈGLE — Code de retour d'un programme C en fonction du résultat de son exécution</w:t>
            </w:r>
          </w:p>
        </w:tc>
        <w:tc>
          <w:tcPr>
            <w:tcW w:w="1" w:type="dxa"/>
            <w:vAlign w:val="center"/>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158</w:t>
            </w:r>
          </w:p>
        </w:tc>
        <w:tc>
          <w:tcPr>
            <w:tcW w:w="1" w:type="dxa"/>
            <w:vAlign w:val="center"/>
            <w:shd w:val="clear" w:fill="white"/>
          </w:tcPr>
          <w:p>
            <w:pPr/>
            <w:r>
              <w:rPr/>
              <w:t xml:space="preserve">RECOMMANDATION — Privilégier les retours d'erreurs via des codes de retour dans la fonction principa</w:t>
            </w:r>
          </w:p>
        </w:tc>
        <w:tc>
          <w:tcPr>
            <w:tcW w:w="1" w:type="dxa"/>
            <w:vAlign w:val="center"/>
            <w:shd w:val="clear" w:fill="white"/>
          </w:tcPr>
          <w:p>
            <w:pPr/>
            <w:r>
              <w:rPr/>
              <w:t xml:space="preserve">Un programme C doit disposer d’une fonction main() minimale. Les retours d’erreurs se font par un retour de code dédié (et donc documenté) de cette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159</w:t>
            </w:r>
          </w:p>
        </w:tc>
        <w:tc>
          <w:tcPr>
            <w:tcW w:w="1" w:type="dxa"/>
            <w:vAlign w:val="center"/>
            <w:shd w:val="clear" w:fill="white"/>
          </w:tcPr>
          <w:p>
            <w:pPr/>
            <w:r>
              <w:rPr/>
              <w:t xml:space="preserve">RÈGLE — Ne pas utiliser les fonctions abort() ou _Exit()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160</w:t>
            </w:r>
          </w:p>
        </w:tc>
        <w:tc>
          <w:tcPr>
            <w:tcW w:w="1" w:type="dxa"/>
            <w:vAlign w:val="center"/>
            <w:shd w:val="clear" w:fill="white"/>
          </w:tcPr>
          <w:p>
            <w:pPr/>
            <w:r>
              <w:rPr/>
              <w:t xml:space="preserve">RECOMMANDATION — Limiter les appels à exit()</w:t>
            </w:r>
          </w:p>
        </w:tc>
        <w:tc>
          <w:tcPr>
            <w:tcW w:w="1" w:type="dxa"/>
            <w:vAlign w:val="center"/>
            <w:shd w:val="clear" w:fill="white"/>
          </w:tcPr>
          <w:p>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161</w:t>
            </w:r>
          </w:p>
        </w:tc>
        <w:tc>
          <w:tcPr>
            <w:tcW w:w="1" w:type="dxa"/>
            <w:vAlign w:val="center"/>
            <w:shd w:val="clear" w:fill="white"/>
          </w:tcPr>
          <w:p>
            <w:pPr/>
            <w:r>
              <w:rPr/>
              <w:t xml:space="preserve">RÈGLE — Ne pas utiliser les fonctions setjmp() et longjump()</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162</w:t>
            </w:r>
          </w:p>
        </w:tc>
        <w:tc>
          <w:tcPr>
            <w:tcW w:w="1" w:type="dxa"/>
            <w:vAlign w:val="center"/>
            <w:shd w:val="clear" w:fill="white"/>
          </w:tcPr>
          <w:p>
            <w:pPr/>
            <w:r>
              <w:rPr/>
              <w:t xml:space="preserve">RÈGLE — Ne pas utiliser les bibliothèques standards setjmp.h et stdarg.h</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163</w:t>
            </w:r>
          </w:p>
        </w:tc>
        <w:tc>
          <w:tcPr>
            <w:tcW w:w="1" w:type="dxa"/>
            <w:vAlign w:val="center"/>
            <w:shd w:val="clear" w:fill="white"/>
          </w:tcPr>
          <w:p>
            <w:pPr/>
            <w:r>
              <w:rPr/>
              <w:t xml:space="preserve">RECOMMANDATION — Limiter l'utilisation des bibliothèques standards manipulant des nombres flottants</w:t>
            </w:r>
          </w:p>
        </w:tc>
        <w:tc>
          <w:tcPr>
            <w:tcW w:w="1" w:type="dxa"/>
            <w:vAlign w:val="center"/>
            <w:shd w:val="clear" w:fill="white"/>
          </w:tcPr>
          <w:p>
            <w:pPr/>
            <w:r>
              <w:rPr/>
              <w:t xml:space="preserve">Les bibliothèques standards float.h, fenv.h, complex.h et math.h ne doivent être utilisées que si cela est vraiment nécessaire.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164</w:t>
            </w:r>
          </w:p>
        </w:tc>
        <w:tc>
          <w:tcPr>
            <w:tcW w:w="1" w:type="dxa"/>
            <w:vAlign w:val="center"/>
            <w:shd w:val="clear" w:fill="white"/>
          </w:tcPr>
          <w:p>
            <w:pPr/>
            <w:r>
              <w:rPr/>
              <w:t xml:space="preserve">RÈGLE — Ne pas utiliser les fonctions atoi() atol() atof() et atoll() de la bibliothèque stdlib.h</w:t>
            </w:r>
          </w:p>
        </w:tc>
        <w:tc>
          <w:tcPr>
            <w:tcW w:w="1" w:type="dxa"/>
            <w:vAlign w:val="center"/>
            <w:shd w:val="clear" w:fill="white"/>
          </w:tcPr>
          <w:p>
            <w:pPr/>
            <w:r>
              <w:rPr/>
              <w:t xml:space="preserve">Les fonctions équivalentes strto*() sont à utiliser en remplacement.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165</w:t>
            </w:r>
          </w:p>
        </w:tc>
        <w:tc>
          <w:tcPr>
            <w:tcW w:w="1" w:type="dxa"/>
            <w:vAlign w:val="center"/>
            <w:shd w:val="clear" w:fill="white"/>
          </w:tcPr>
          <w:p>
            <w:pPr/>
            <w:r>
              <w:rPr/>
              <w:t xml:space="preserve">RÈGLE — Ne pas utiliser la fonction rand() de la bibliothèque standard</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166</w:t>
            </w:r>
          </w:p>
        </w:tc>
        <w:tc>
          <w:tcPr>
            <w:tcW w:w="1" w:type="dxa"/>
            <w:vAlign w:val="center"/>
            <w:shd w:val="clear" w:fill="white"/>
          </w:tcPr>
          <w:p>
            <w:pPr/>
            <w:r>
              <w:rPr/>
              <w:t xml:space="preserve">RÈGLE — Utiliser les versions « plus sécurisées » pour les fonctions de la bibliothèque standard</w:t>
            </w:r>
          </w:p>
        </w:tc>
        <w:tc>
          <w:tcPr>
            <w:tcW w:w="1" w:type="dxa"/>
            <w:vAlign w:val="center"/>
            <w:shd w:val="clear" w:fill="white"/>
          </w:tcPr>
          <w:p>
            <w:pPr/>
            <w:r>
              <w:rPr/>
              <w:t xml:space="preserve">Quand des fonctions de la bibliothèque standard existent en différentes versions, la version « plus sécurisée » doit être utilisée.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167</w:t>
            </w:r>
          </w:p>
        </w:tc>
        <w:tc>
          <w:tcPr>
            <w:tcW w:w="1" w:type="dxa"/>
            <w:vAlign w:val="center"/>
            <w:shd w:val="clear" w:fill="white"/>
          </w:tcPr>
          <w:p>
            <w:pPr/>
            <w:r>
              <w:rPr/>
              <w:t xml:space="preserve">RÈGLE — Ne pas utiliser de fonctions de la bibliothèque obsolescentes ou devenues obsolètes dans des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168</w:t>
            </w:r>
          </w:p>
        </w:tc>
        <w:tc>
          <w:tcPr>
            <w:tcW w:w="1" w:type="dxa"/>
            <w:vAlign w:val="center"/>
            <w:shd w:val="clear" w:fill="white"/>
          </w:tcPr>
          <w:p>
            <w:pPr/>
            <w:r>
              <w:rPr/>
              <w:t xml:space="preserve">RÈGLE — Ne pas utiliser de fonctions de la bibliothèque manipulant des buffers sans prendre la taill</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169</w:t>
            </w:r>
          </w:p>
        </w:tc>
        <w:tc>
          <w:tcPr>
            <w:tcW w:w="1" w:type="dxa"/>
            <w:vAlign w:val="center"/>
            <w:shd w:val="clear" w:fill="white"/>
          </w:tcPr>
          <w:p>
            <w:pPr/>
            <w:r>
              <w:rPr/>
              <w:t xml:space="preserve">BONNE PRATIQUE — Tout code doit être soumis à relecture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170</w:t>
            </w:r>
          </w:p>
        </w:tc>
        <w:tc>
          <w:tcPr>
            <w:tcW w:w="1" w:type="dxa"/>
            <w:vAlign w:val="center"/>
            <w:shd w:val="clear" w:fill="white"/>
          </w:tcPr>
          <w:p>
            <w:pPr/>
            <w:r>
              <w:rPr/>
              <w:t xml:space="preserve">RECOMMANDATION — Indentation des expressions longues</w:t>
            </w:r>
          </w:p>
        </w:tc>
        <w:tc>
          <w:tcPr>
            <w:tcW w:w="1" w:type="dxa"/>
            <w:vAlign w:val="center"/>
            <w:shd w:val="clear" w:fill="white"/>
          </w:tcPr>
          <w:p>
            <w:pPr/>
            <w:r>
              <w:rPr/>
              <w:t xml:space="preserve">Lorsqu’une instruction ou une expression s’étale sur plusieurs lignes, il est indispensable de l’indenter afin de faciliter la compréhension du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171</w:t>
            </w:r>
          </w:p>
        </w:tc>
        <w:tc>
          <w:tcPr>
            <w:tcW w:w="1" w:type="dxa"/>
            <w:vAlign w:val="center"/>
            <w:shd w:val="clear" w:fill="white"/>
          </w:tcPr>
          <w:p>
            <w:pPr/>
            <w:r>
              <w:rPr/>
              <w:t xml:space="preserve">RÈGLE — Identifier et supprimer tout code mort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172</w:t>
            </w:r>
          </w:p>
        </w:tc>
        <w:tc>
          <w:tcPr>
            <w:tcW w:w="1" w:type="dxa"/>
            <w:vAlign w:val="center"/>
            <w:shd w:val="clear" w:fill="white"/>
          </w:tcPr>
          <w:p>
            <w:pPr/>
            <w:r>
              <w:rPr/>
              <w:t xml:space="preserve">RÈGLE — Le code doit être exempt de code non atteignable en dehors de code défensif et de code d'int</w:t>
            </w:r>
          </w:p>
        </w:tc>
        <w:tc>
          <w:tcPr>
            <w:tcW w:w="1" w:type="dxa"/>
            <w:vAlign w:val="center"/>
            <w:shd w:val="clear" w:fill="white"/>
          </w:tcPr>
          <w:p>
            <w:pPr/>
            <w:r>
              <w:rPr/>
              <w:t xml:space="preserve">Il ne doit jamais y avoir de code inatteignable, sauf s’il s’agit de code défensif ou s’il s’agit de code d’une interface et dans ces deux cas, il faut le préciser en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173</w:t>
            </w:r>
          </w:p>
        </w:tc>
        <w:tc>
          <w:tcPr>
            <w:tcW w:w="1" w:type="dxa"/>
            <w:vAlign w:val="center"/>
            <w:shd w:val="clear" w:fill="white"/>
          </w:tcPr>
          <w:p>
            <w:pPr/>
            <w:r>
              <w:rPr/>
              <w:t xml:space="preserve">RECOMMANDATION — Evaluation outillée du code source pour limiter les risques d'erreurs d'exécution</w:t>
            </w:r>
          </w:p>
        </w:tc>
        <w:tc>
          <w:tcPr>
            <w:tcW w:w="1" w:type="dxa"/>
            <w:vAlign w:val="center"/>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174</w:t>
            </w:r>
          </w:p>
        </w:tc>
        <w:tc>
          <w:tcPr>
            <w:tcW w:w="1" w:type="dxa"/>
            <w:vAlign w:val="center"/>
            <w:shd w:val="clear" w:fill="white"/>
          </w:tcPr>
          <w:p>
            <w:pPr/>
            <w:r>
              <w:rPr/>
              <w:t xml:space="preserve">RECOMMANDATION — Limitation de la complexité cyclomatique</w:t>
            </w:r>
          </w:p>
        </w:tc>
        <w:tc>
          <w:tcPr>
            <w:tcW w:w="1" w:type="dxa"/>
            <w:vAlign w:val="center"/>
            <w:shd w:val="clear" w:fill="white"/>
          </w:tcPr>
          <w:p>
            <w:pPr/>
            <w:r>
              <w:rPr/>
              <w:t xml:space="preserve">La complexité cyclomatique d’une fonction doit être limitée au maximum.</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175</w:t>
            </w:r>
          </w:p>
        </w:tc>
        <w:tc>
          <w:tcPr>
            <w:tcW w:w="1" w:type="dxa"/>
            <w:vAlign w:val="center"/>
            <w:shd w:val="clear" w:fill="white"/>
          </w:tcPr>
          <w:p>
            <w:pPr/>
            <w:r>
              <w:rPr/>
              <w:t xml:space="preserve">RECOMMANDATION — Limitation de la longueur et la complexité d'une fonction</w:t>
            </w:r>
          </w:p>
        </w:tc>
        <w:tc>
          <w:tcPr>
            <w:tcW w:w="1" w:type="dxa"/>
            <w:vAlign w:val="center"/>
            <w:shd w:val="clear" w:fill="white"/>
          </w:tcPr>
          <w:p>
            <w:pPr/>
            <w:r>
              <w:rPr/>
              <w:t xml:space="preserve">Une fonction doit être associée idéalement à un seul et unique traitement et doit donc correspondre à un nombre de lignes de code raisonnable.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176</w:t>
            </w:r>
          </w:p>
        </w:tc>
        <w:tc>
          <w:tcPr>
            <w:tcW w:w="1" w:type="dxa"/>
            <w:vAlign w:val="center"/>
            <w:shd w:val="clear" w:fill="white"/>
          </w:tcPr>
          <w:p>
            <w:pPr/>
            <w:r>
              <w:rPr/>
              <w:t xml:space="preserve">RÈGLE — Ne pas utiliser de mots clés du 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177</w:t>
            </w:r>
          </w:p>
        </w:tc>
        <w:tc>
          <w:tcPr>
            <w:tcW w:w="1" w:type="dxa"/>
            <w:vAlign w:val="center"/>
            <w:shd w:val="clear" w:fill="white"/>
          </w:tcPr>
          <w:p>
            <w:pPr/>
            <w:r>
              <w:rPr/>
              <w:t xml:space="preserve">RÈGLE — Séquences de caractères interdites dans les commentaires</w:t>
            </w:r>
          </w:p>
        </w:tc>
        <w:tc>
          <w:tcPr>
            <w:tcW w:w="1" w:type="dxa"/>
            <w:vAlign w:val="center"/>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178</w:t>
            </w:r>
          </w:p>
        </w:tc>
        <w:tc>
          <w:tcPr>
            <w:tcW w:w="1" w:type="dxa"/>
            <w:vAlign w:val="center"/>
            <w:shd w:val="clear" w:fill="white"/>
          </w:tcPr>
          <w:p>
            <w:pPr/>
            <w:r>
              <w:rPr/>
              <w:t xml:space="preserve">RÈGLE — Mise en oeuvre manuelle de mécanismes « canari » si les options de durcissement ne sont pas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179</w:t>
            </w:r>
          </w:p>
        </w:tc>
        <w:tc>
          <w:tcPr>
            <w:tcW w:w="1" w:type="dxa"/>
            <w:vAlign w:val="center"/>
            <w:shd w:val="clear" w:fill="white"/>
          </w:tcPr>
          <w:p>
            <w:pPr/>
            <w:r>
              <w:rPr/>
              <w:t xml:space="preserve">RÈGLE — Pas d'assertions de mise au point sur un code mis en production</w:t>
            </w:r>
          </w:p>
        </w:tc>
        <w:tc>
          <w:tcPr>
            <w:tcW w:w="1" w:type="dxa"/>
            <w:vAlign w:val="center"/>
            <w:shd w:val="clear" w:fill="white"/>
          </w:tcPr>
          <w:p>
            <w:pPr/>
            <w:r>
              <w:rPr/>
              <w:t xml:space="preserve">Les assertions de mise au point ne doivent pas être présentes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180</w:t>
            </w:r>
          </w:p>
        </w:tc>
        <w:tc>
          <w:tcPr>
            <w:tcW w:w="1" w:type="dxa"/>
            <w:vAlign w:val="center"/>
            <w:shd w:val="clear" w:fill="white"/>
          </w:tcPr>
          <w:p>
            <w:pPr/>
            <w:r>
              <w:rPr/>
              <w:t xml:space="preserve">RECOMMANDATION — La gestion des assertions d'intégrité doit inclure un effacement des données d'urge</w:t>
            </w:r>
          </w:p>
        </w:tc>
        <w:tc>
          <w:tcPr>
            <w:tcW w:w="1" w:type="dxa"/>
            <w:vAlign w:val="center"/>
            <w:shd w:val="clear" w:fill="white"/>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181</w:t>
            </w:r>
          </w:p>
        </w:tc>
        <w:tc>
          <w:tcPr>
            <w:tcW w:w="1" w:type="dxa"/>
            <w:vAlign w:val="center"/>
            <w:shd w:val="clear" w:fill="white"/>
          </w:tcPr>
          <w:p>
            <w:pPr/>
            <w:r>
              <w:rPr/>
              <w:t xml:space="preserve">RÈGLE — Tout fichier non vide doit se terminer par un retour à la ligne et les directives de preproc</w:t>
            </w:r>
          </w:p>
        </w:tc>
        <w:tc>
          <w:tcPr>
            <w:tcW w:w="1" w:type="dxa"/>
            <w:vAlign w:val="center"/>
            <w:shd w:val="clear" w:fill="white"/>
          </w:tcPr>
          <w:p>
            <w:pPr/>
            <w:r>
              <w:rPr/>
              <w:t xml:space="preserve">Un fichier non vide ne doit pas se terminer au milieu d’un commentaire ou d’une directive de preprocessing.</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d'ttaquant</w:t>
            </w:r>
          </w:p>
        </w:tc>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12</w:t>
      </w:r>
      <w:r w:rsidR="00162FC5">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red"/>
          </w:tcPr>
          <w:p>
            <w:pPr/>
            <w:r>
              <w:rPr/>
              <w:t xml:space="preserve">Élevée</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green"/>
          </w:tcPr>
          <w:p>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c>
          <w:tcPr>
            <w:tcW w:w="1" w:type="dxa"/>
            <w:vAlign w:val="center"/>
            <w:shd w:val="clear" w:fill="#DCDCDC"/>
          </w:tcPr>
          <w:p>
            <w:pPr/>
            <w:r>
              <w:rPr>
                <w:b w:val="1"/>
                <w:bCs w:val="1"/>
              </w:rPr>
              <w:t xml:space="preserve">Choix P1/P2</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Élevée</w:t>
            </w:r>
          </w:p>
        </w:tc>
        <w:tc>
          <w:tcPr>
            <w:tcW w:w="1" w:type="dxa"/>
            <w:vAlign w:val="center"/>
            <w:shd w:val="clear" w:fill="white"/>
          </w:tcPr>
          <w:p>
            <w:pPr/>
            <w:r>
              <w:rPr/>
              <w:t xml:space="preserve">P1</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Faible</w:t>
            </w:r>
          </w:p>
        </w:tc>
        <w:tc>
          <w:tcPr>
            <w:tcW w:w="1" w:type="dxa"/>
            <w:vAlign w:val="center"/>
            <w:shd w:val="clear" w:fill="white"/>
          </w:tcPr>
          <w:p>
            <w:pPr/>
            <w:r>
              <w:rPr/>
              <w:t xml:space="preserve">P1</w:t>
            </w:r>
          </w:p>
        </w:tc>
      </w:tr>
    </w:tbl>
    <w:p w14:paraId="3D3D26B5" w14:textId="77777777" w:rsidR="00ED48EA" w:rsidRDefault="00ED48EA" w:rsidP="00ED48EA">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14</w:t>
      </w:r>
      <w:r w:rsidR="00162FC5">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162FC5">
        <w:fldChar w:fldCharType="begin"/>
      </w:r>
      <w:r w:rsidR="00162FC5">
        <w:instrText xml:space="preserve"> SEQ Figure \* ARABIC </w:instrText>
      </w:r>
      <w:r w:rsidR="00162FC5">
        <w:fldChar w:fldCharType="separate"/>
      </w:r>
      <w:r w:rsidR="00E5663A">
        <w:rPr>
          <w:noProof/>
        </w:rPr>
        <w:t>1</w:t>
      </w:r>
      <w:r w:rsidR="00162FC5">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Facteur de pondération 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Facteur de pondération 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Facteur de pondération 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Facteur de pondération 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w:t>
            </w:r>
          </w:p>
        </w:tc>
        <w:tc>
          <w:tcPr>
            <w:tcW w:w="1" w:type="dxa"/>
            <w:vAlign w:val="center"/>
            <w:shd w:val="clear" w:fill="#DCDCDC"/>
          </w:tcPr>
          <w:p>
            <w:pPr/>
            <w:r>
              <w:rPr>
                <w:b w:val="1"/>
                <w:bCs w:val="1"/>
              </w:rPr>
              <w:t xml:space="preserve">I</w:t>
            </w:r>
          </w:p>
        </w:tc>
        <w:tc>
          <w:tcPr>
            <w:tcW w:w="1" w:type="dxa"/>
            <w:vAlign w:val="center"/>
            <w:shd w:val="clear" w:fill="#DCDCDC"/>
          </w:tcPr>
          <w:p>
            <w:pPr/>
            <w:r>
              <w:rPr>
                <w:b w:val="1"/>
                <w:bCs w:val="1"/>
              </w:rPr>
              <w:t xml:space="preserve">D</w:t>
            </w:r>
          </w:p>
        </w:tc>
        <w:tc>
          <w:tcPr>
            <w:tcW w:w="1" w:type="dxa"/>
            <w:vAlign w:val="center"/>
            <w:shd w:val="clear" w:fill="#DCDCDC"/>
          </w:tcPr>
          <w:p>
            <w:pPr/>
            <w:r>
              <w:rPr>
                <w:b w:val="1"/>
                <w:bCs w:val="1"/>
              </w:rPr>
              <w:t xml:space="preserve">T</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d'attaquant</w:t>
            </w:r>
          </w:p>
        </w:tc>
        <w:tc>
          <w:tcPr>
            <w:tcW w:w="1" w:type="dxa"/>
            <w:vAlign w:val="center"/>
            <w:shd w:val="clear" w:fill="#DCDCDC"/>
          </w:tcPr>
          <w:p>
            <w:pPr/>
            <w:r>
              <w:rPr>
                <w:b w:val="1"/>
                <w:bCs w:val="1"/>
              </w:rPr>
              <w:t xml:space="preserve">Profile de l'attaquant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Scénario stratégique</w:t>
            </w:r>
          </w:p>
        </w:tc>
        <w:tc>
          <w:tcPr>
            <w:tcW w:w="1" w:type="dxa"/>
            <w:vAlign w:val="center"/>
            <w:shd w:val="clear" w:fill="#DCDCDC"/>
          </w:tcPr>
          <w:p>
            <w:pPr/>
            <w:r>
              <w:rPr>
                <w:b w:val="1"/>
                <w:bCs w:val="1"/>
              </w:rPr>
              <w:t xml:space="preserve">Source de risque / Objectif visé</w:t>
            </w:r>
          </w:p>
        </w:tc>
      </w:tr>
      <w:tr>
        <w:trPr/>
        <w:tc>
          <w:tcPr>
            <w:tcW w:w="1" w:type="dxa"/>
            <w:vAlign w:val="center"/>
            <w:shd w:val="clear" w:fill="white"/>
          </w:tcPr>
          <w:p>
            <w:pPr/>
            <w:r>
              <w:rPr/>
              <w:t xml:space="preserve">ST-1-VolMotPasseStocké</w:t>
            </w:r>
          </w:p>
        </w:tc>
        <w:tc>
          <w:tcPr>
            <w:tcW w:w="1" w:type="dxa"/>
            <w:vAlign w:val="center"/>
            <w:shd w:val="clear" w:fill="white"/>
          </w:tcPr>
          <w:p>
            <w:pPr/>
            <w:r>
              <w:rPr/>
              <w:t xml:space="preserve">Hacker isolé  / Vol d'argent</w:t>
            </w:r>
          </w:p>
        </w:tc>
      </w:tr>
      <w:tr>
        <w:trPr/>
        <w:tc>
          <w:tcPr>
            <w:tcW w:w="1" w:type="dxa"/>
            <w:vAlign w:val="center"/>
            <w:shd w:val="clear" w:fill="white"/>
          </w:tcPr>
          <w:p>
            <w:pPr/>
            <w:r>
              <w:rPr/>
              <w:t xml:space="preserve">ST-2-Connaissance-Espionnage</w:t>
            </w:r>
          </w:p>
        </w:tc>
        <w:tc>
          <w:tcPr>
            <w:tcW w:w="1" w:type="dxa"/>
            <w:vAlign w:val="center"/>
            <w:shd w:val="clear" w:fill="white"/>
          </w:tcPr>
          <w:p>
            <w:pPr/>
            <w:r>
              <w:rPr/>
              <w:t xml:space="preserve">Connaissance de la victime qui à accès physiquement aux locaux. / Espionnage</w:t>
            </w:r>
          </w:p>
        </w:tc>
      </w:tr>
    </w:tbl>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du risque</w:t>
            </w:r>
          </w:p>
        </w:tc>
        <w:tc>
          <w:tcPr>
            <w:tcW w:w="1" w:type="dxa"/>
            <w:vAlign w:val="center"/>
            <w:shd w:val="clear" w:fill="#DCDCDC"/>
          </w:tcPr>
          <w:p>
            <w:pPr/>
            <w:r>
              <w:rPr>
                <w:b w:val="1"/>
                <w:bCs w:val="1"/>
              </w:rPr>
              <w:t xml:space="preserve">Nom du scénario startégique</w:t>
            </w:r>
          </w:p>
        </w:tc>
        <w:tc>
          <w:tcPr>
            <w:tcW w:w="1" w:type="dxa"/>
            <w:vAlign w:val="center"/>
            <w:shd w:val="clear" w:fill="#DCDCDC"/>
          </w:tcPr>
          <w:p>
            <w:pPr/>
            <w:r>
              <w:rPr>
                <w:b w:val="1"/>
                <w:bCs w:val="1"/>
              </w:rPr>
              <w:t xml:space="preserve">Chemin d'attaque startégique</w:t>
            </w:r>
          </w:p>
        </w:tc>
        <w:tc>
          <w:tcPr>
            <w:tcW w:w="1" w:type="dxa"/>
            <w:vAlign w:val="center"/>
            <w:shd w:val="clear" w:fill="#DCDCDC"/>
          </w:tcPr>
          <w:p>
            <w:pPr/>
            <w:r>
              <w:rPr>
                <w:b w:val="1"/>
                <w:bCs w:val="1"/>
              </w:rPr>
              <w:t xml:space="preserve">Description</w:t>
            </w:r>
          </w:p>
        </w:tc>
        <w:tc>
          <w:tcPr>
            <w:tcW w:w="1" w:type="dxa"/>
            <w:vAlign w:val="center"/>
            <w:shd w:val="clear" w:fill="#DCDCDC"/>
          </w:tcPr>
          <w:p>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stratégique</w:t>
            </w:r>
          </w:p>
        </w:tc>
        <w:tc>
          <w:tcPr>
            <w:tcW w:w="1" w:type="dxa"/>
            <w:vAlign w:val="center"/>
            <w:shd w:val="clear" w:fill="#DCDCDC"/>
          </w:tcPr>
          <w:p>
            <w:pPr/>
            <w:r>
              <w:rPr>
                <w:b w:val="1"/>
                <w:bCs w:val="1"/>
              </w:rPr>
              <w:t xml:space="preserve">Source de risque: Objectif visé</w:t>
            </w:r>
          </w:p>
        </w:tc>
        <w:tc>
          <w:tcPr>
            <w:tcW w:w="1" w:type="dxa"/>
            <w:vAlign w:val="center"/>
            <w:shd w:val="clear" w:fill="#DCDCDC"/>
          </w:tcPr>
          <w:p>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scnénario stratégique</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Événements redoutés</w:t>
            </w:r>
          </w:p>
        </w:tc>
        <w:tc>
          <w:tcPr>
            <w:tcW w:w="1" w:type="dxa"/>
            <w:vAlign w:val="center"/>
            <w:shd w:val="clear" w:fill="#DCDCDC"/>
          </w:tcPr>
          <w:p>
            <w:pPr/>
            <w:r>
              <w:rPr>
                <w:b w:val="1"/>
                <w:bCs w:val="1"/>
              </w:rPr>
              <w:t xml:space="preserve">N° Risque</w:t>
            </w:r>
          </w:p>
        </w:tc>
        <w:tc>
          <w:tcPr>
            <w:tcW w:w="1" w:type="dxa"/>
            <w:vAlign w:val="center"/>
            <w:shd w:val="clear" w:fill="#DCDCDC"/>
          </w:tcPr>
          <w:p>
            <w:pPr/>
            <w:r>
              <w:rPr>
                <w:b w:val="1"/>
                <w:bCs w:val="1"/>
              </w:rPr>
              <w:t xml:space="preserve">Chemin d'attaques stratégiques</w:t>
            </w:r>
          </w:p>
        </w:tc>
        <w:tc>
          <w:tcPr>
            <w:tcW w:w="1" w:type="dxa"/>
            <w:vAlign w:val="center"/>
            <w:shd w:val="clear" w:fill="#DCDCDC"/>
          </w:tcPr>
          <w:p>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Mode opératoire</w:t>
            </w:r>
          </w:p>
        </w:tc>
      </w:tr>
      <w:tr>
        <w:trPr/>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reza</w:t>
            </w:r>
          </w:p>
        </w:tc>
      </w:tr>
      <w:tr>
        <w:trPr/>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azer
</w:t>
            </w:r>
          </w:p>
        </w:tc>
      </w:tr>
      <w:tr>
        <w:trPr/>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Echelle de la gravité</w:t>
            </w:r>
          </w:p>
        </w:tc>
      </w:tr>
      <w:tr>
        <w:trPr/>
        <w:tc>
          <w:tcPr>
            <w:tcW w:w="1" w:type="dxa"/>
            <w:vAlign w:val="center"/>
            <w:shd w:val="clear" w:fill="white"/>
          </w:tcPr>
          <w:p>
            <w:pPr/>
            <w:r>
              <w:rPr/>
              <w:t xml:space="preserve">EchelleDeGravité</w:t>
            </w:r>
          </w:p>
        </w:tc>
        <w:tc>
          <w:tcPr>
            <w:tcW w:w="1" w:type="dxa"/>
            <w:shd w:val="clear" w:fill="red"/>
          </w:tcPr>
          <w:p>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Numéro du risque</w:t>
            </w:r>
          </w:p>
        </w:tc>
        <w:tc>
          <w:tcPr>
            <w:tcW w:w="1" w:type="dxa"/>
            <w:vAlign w:val="center"/>
            <w:shd w:val="clear" w:fill="#DCDCDC"/>
          </w:tcPr>
          <w:p>
            <w:pPr/>
            <w:r>
              <w:rPr>
                <w:b w:val="1"/>
                <w:bCs w:val="1"/>
              </w:rPr>
              <w:t xml:space="preserve">Chemin d'attaque stratégique</w:t>
            </w:r>
          </w:p>
        </w:tc>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Vraisemblance</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reza</w:t>
            </w:r>
          </w:p>
        </w:tc>
        <w:tc>
          <w:tcPr>
            <w:tcW w:w="1" w:type="dxa"/>
            <w:shd w:val="clear" w:fill="green"/>
          </w:tcPr>
          <w:p>
            <w:pPr/>
            <w:r>
              <w:rPr/>
              <w:t xml:space="preserve">1</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azer
</w:t>
            </w:r>
          </w:p>
        </w:tc>
        <w:tc>
          <w:tcPr>
            <w:tcW w:w="1" w:type="dxa"/>
            <w:shd w:val="clear" w:fill="orange"/>
          </w:tcPr>
          <w:p>
            <w:pPr/>
            <w:r>
              <w:rPr/>
              <w:t xml:space="preserve">2</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
            </w:r>
          </w:p>
        </w:tc>
        <w:tc>
          <w:tcPr>
            <w:tcW w:w="1" w:type="dxa"/>
            <w:shd w:val="clear" w:fill="red"/>
          </w:tcPr>
          <w:p>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p w14:paraId="5C9D145C" w14:textId="77777777" w:rsidR="001B5DEC" w:rsidRDefault="001B5DEC" w:rsidP="001B5DEC">
      <w:pPr>
        <w:rPr>
          <w:sz w:val="24"/>
          <w:szCs w:val="24"/>
        </w:rPr>
      </w:pPr>
      <w:r>
        <w:rPr>
          <w:sz w:val="24"/>
          <w:szCs w:val="24"/>
        </w:rPr>
        <w:t>${Cartographie4}</w:t>
      </w:r>
    </w:p>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Description mesure de sécurité</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Scénario des risques associés</w:t>
            </w:r>
          </w:p>
        </w:tc>
        <w:tc>
          <w:tcPr>
            <w:tcW w:w="1" w:type="dxa"/>
            <w:vAlign w:val="center"/>
            <w:shd w:val="clear" w:fill="#DCDCDC"/>
          </w:tcPr>
          <w:p>
            <w:pPr/>
            <w:r>
              <w:rPr>
                <w:b w:val="1"/>
                <w:bCs w:val="1"/>
              </w:rPr>
              <w:t xml:space="preserve">Principe de sécurité</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Frein et difficultés de mise en oeuvre</w:t>
            </w:r>
          </w:p>
        </w:tc>
        <w:tc>
          <w:tcPr>
            <w:tcW w:w="1" w:type="dxa"/>
            <w:vAlign w:val="center"/>
            <w:shd w:val="clear" w:fill="#DCDCDC"/>
          </w:tcPr>
          <w:p>
            <w:pPr/>
            <w:r>
              <w:rPr>
                <w:b w:val="1"/>
                <w:bCs w:val="1"/>
              </w:rPr>
              <w:t xml:space="preserve">Cout</w:t>
            </w:r>
          </w:p>
        </w:tc>
        <w:tc>
          <w:tcPr>
            <w:tcW w:w="1" w:type="dxa"/>
            <w:vAlign w:val="center"/>
            <w:shd w:val="clear" w:fill="#DCDCDC"/>
          </w:tcPr>
          <w:p>
            <w:pPr/>
            <w:r>
              <w:rPr>
                <w:b w:val="1"/>
                <w:bCs w:val="1"/>
              </w:rPr>
              <w:t xml:space="preserve">Échéance</w:t>
            </w:r>
          </w:p>
        </w:tc>
        <w:tc>
          <w:tcPr>
            <w:tcW w:w="1" w:type="dxa"/>
            <w:vAlign w:val="center"/>
            <w:shd w:val="clear" w:fill="#DCDCDC"/>
          </w:tcPr>
          <w:p>
            <w:pPr/>
            <w:r>
              <w:rPr>
                <w:b w:val="1"/>
                <w:bCs w:val="1"/>
              </w:rPr>
              <w:t xml:space="preserve">statut</w:t>
            </w:r>
          </w:p>
        </w:tc>
      </w:tr>
      <w:tr>
        <w:trPr/>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Les mots de passe font au minimum 12 caractères</w:t>
            </w:r>
          </w:p>
        </w:tc>
        <w:tc>
          <w:tcPr>
            <w:tcW w:w="1" w:type="dxa"/>
            <w:vAlign w:val="center"/>
            <w:shd w:val="clear" w:fill="white"/>
          </w:tcPr>
          <w:p>
            <w:pPr/>
            <w:r>
              <w:rPr/>
              <w:t xml:space="preserve">5.b</w:t>
            </w:r>
          </w:p>
        </w:tc>
        <w:tc>
          <w:tcPr>
            <w:tcW w:w="1" w:type="dxa"/>
            <w:vAlign w:val="center"/>
            <w:shd w:val="clear" w:fill="white"/>
          </w:tcPr>
          <w:p>
            <w:pPr/>
            <w:r>
              <w:rPr/>
              <w:t xml:space="preserve">R3</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Capot</w:t>
            </w:r>
          </w:p>
        </w:tc>
        <w:tc>
          <w:tcPr>
            <w:tcW w:w="1" w:type="dxa"/>
            <w:vAlign w:val="center"/>
            <w:shd w:val="clear" w:fill="white"/>
          </w:tcPr>
          <w:p>
            <w:pPr/>
            <w:r>
              <w:rPr/>
              <w:t xml:space="preserve">Capot de protection</w:t>
            </w:r>
          </w:p>
        </w:tc>
        <w:tc>
          <w:tcPr>
            <w:tcW w:w="1" w:type="dxa"/>
            <w:vAlign w:val="center"/>
            <w:shd w:val="clear" w:fill="white"/>
          </w:tcPr>
          <w:p>
            <w:pPr/>
            <w:r>
              <w:rPr/>
              <w:t xml:space="preserve">5.b</w:t>
            </w:r>
          </w:p>
        </w:tc>
        <w:tc>
          <w:tcPr>
            <w:tcW w:w="1" w:type="dxa"/>
            <w:vAlign w:val="center"/>
            <w:shd w:val="clear" w:fill="white"/>
          </w:tcPr>
          <w:p>
            <w:pPr/>
            <w:r>
              <w:rPr/>
              <w:t xml:space="preserve">R2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risque</w:t>
            </w:r>
          </w:p>
        </w:tc>
        <w:tc>
          <w:tcPr>
            <w:tcW w:w="1" w:type="dxa"/>
            <w:vAlign w:val="center"/>
            <w:shd w:val="clear" w:fill="#DCDCDC"/>
          </w:tcPr>
          <w:p>
            <w:pPr/>
            <w:r>
              <w:rPr>
                <w:b w:val="1"/>
                <w:bCs w:val="1"/>
              </w:rPr>
              <w:t xml:space="preserve">Événement redouté</w:t>
            </w:r>
          </w:p>
        </w:tc>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Gravité initiale</w:t>
            </w:r>
          </w:p>
        </w:tc>
        <w:tc>
          <w:tcPr>
            <w:tcW w:w="1" w:type="dxa"/>
            <w:vAlign w:val="center"/>
            <w:shd w:val="clear" w:fill="#DCDCDC"/>
          </w:tcPr>
          <w:p>
            <w:pPr/>
            <w:r>
              <w:rPr>
                <w:b w:val="1"/>
                <w:bCs w:val="1"/>
              </w:rPr>
              <w:t xml:space="preserve">Vraisemblance initiale</w:t>
            </w:r>
          </w:p>
        </w:tc>
        <w:tc>
          <w:tcPr>
            <w:tcW w:w="1" w:type="dxa"/>
            <w:vAlign w:val="center"/>
            <w:shd w:val="clear" w:fill="#DCDCDC"/>
          </w:tcPr>
          <w:p>
            <w:pPr/>
            <w:r>
              <w:rPr>
                <w:b w:val="1"/>
                <w:bCs w:val="1"/>
              </w:rPr>
              <w:t xml:space="preserve">Risque initial</w:t>
            </w:r>
          </w:p>
        </w:tc>
        <w:tc>
          <w:tcPr>
            <w:tcW w:w="1" w:type="dxa"/>
            <w:vAlign w:val="center"/>
            <w:shd w:val="clear" w:fill="#DCDCDC"/>
          </w:tcPr>
          <w:p>
            <w:pPr/>
            <w:r>
              <w:rPr>
                <w:b w:val="1"/>
                <w:bCs w:val="1"/>
              </w:rPr>
              <w:t xml:space="preserve">Nom du risque résiduel</w:t>
            </w:r>
          </w:p>
        </w:tc>
        <w:tc>
          <w:tcPr>
            <w:tcW w:w="1" w:type="dxa"/>
            <w:vAlign w:val="center"/>
            <w:shd w:val="clear" w:fill="#DCDCDC"/>
          </w:tcPr>
          <w:p>
            <w:pPr/>
            <w:r>
              <w:rPr>
                <w:b w:val="1"/>
                <w:bCs w:val="1"/>
              </w:rPr>
              <w:t xml:space="preserve">Description du risque résiduel</w:t>
            </w:r>
          </w:p>
        </w:tc>
        <w:tc>
          <w:tcPr>
            <w:tcW w:w="1" w:type="dxa"/>
            <w:vAlign w:val="center"/>
            <w:shd w:val="clear" w:fill="#DCDCDC"/>
          </w:tcPr>
          <w:p>
            <w:pPr/>
            <w:r>
              <w:rPr>
                <w:b w:val="1"/>
                <w:bCs w:val="1"/>
              </w:rPr>
              <w:t xml:space="preserve">Vraisemblance résiduelle</w:t>
            </w:r>
          </w:p>
        </w:tc>
        <w:tc>
          <w:tcPr>
            <w:tcW w:w="1" w:type="dxa"/>
            <w:vAlign w:val="center"/>
            <w:shd w:val="clear" w:fill="#DCDCDC"/>
          </w:tcPr>
          <w:p>
            <w:pPr/>
            <w:r>
              <w:rPr>
                <w:b w:val="1"/>
                <w:bCs w:val="1"/>
              </w:rPr>
              <w:t xml:space="preserve">Risque résiduelle</w:t>
            </w:r>
          </w:p>
        </w:tc>
        <w:tc>
          <w:tcPr>
            <w:tcW w:w="1" w:type="dxa"/>
            <w:vAlign w:val="center"/>
            <w:shd w:val="clear" w:fill="#DCDCDC"/>
          </w:tcPr>
          <w:p>
            <w:pPr/>
            <w:r>
              <w:rPr>
                <w:b w:val="1"/>
                <w:bCs w:val="1"/>
              </w:rPr>
              <w:t xml:space="preserve">Gestion du risque résiduel</w:t>
            </w:r>
          </w:p>
        </w:tc>
      </w:tr>
      <w:tr>
        <w:trPr/>
        <w:tc>
          <w:tcPr>
            <w:tcW w:w="1" w:type="dxa"/>
            <w:vAlign w:val="center"/>
            <w:shd w:val="clear" w:fill="white"/>
          </w:tcPr>
          <w:p>
            <w:pPr/>
            <w:r>
              <w:rPr/>
              <w:t xml:space="preserve">Chemin physique</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Capot</w:t>
            </w:r>
          </w:p>
        </w:tc>
        <w:tc>
          <w:tcPr>
            <w:tcW w:w="1" w:type="dxa"/>
            <w:vAlign w:val="center"/>
            <w:shd w:val="clear" w:fill="white"/>
          </w:tcPr>
          <w:p>
            <w:pPr/>
            <w:r>
              <w:rPr/>
              <w:t xml:space="preserve">1</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2</w:t>
            </w:r>
          </w:p>
        </w:tc>
        <w:tc>
          <w:tcPr>
            <w:tcW w:w="1" w:type="dxa"/>
            <w:vAlign w:val="center"/>
            <w:shd w:val="clear" w:fill="white"/>
          </w:tcPr>
          <w:p>
            <w:pPr/>
            <w:r>
              <w:rPr/>
              <w:t xml:space="preserve">0</w:t>
            </w:r>
          </w:p>
        </w:tc>
        <w:tc>
          <w:tcPr>
            <w:tcW w:w="1" w:type="dxa"/>
            <w:vAlign w:val="center"/>
            <w:shd w:val="clear" w:fill="white"/>
          </w:tcPr>
          <w:p>
            <w:pPr/>
            <w:r>
              <w:rPr/>
              <w:t xml:space="preserve"/>
            </w:r>
          </w:p>
        </w:tc>
      </w:tr>
      <w:tr>
        <w:trPr/>
        <w:tc>
          <w:tcPr>
            <w:tcW w:w="1" w:type="dxa"/>
            <w:vAlign w:val="center"/>
            <w:shd w:val="clear" w:fill="white"/>
          </w:tcPr>
          <w:p>
            <w:pPr/>
            <w:r>
              <w:rPr/>
              <w:t xml:space="preserve">Brute force mot de passe</w:t>
            </w:r>
          </w:p>
        </w:tc>
        <w:tc>
          <w:tcPr>
            <w:tcW w:w="1" w:type="dxa"/>
            <w:vAlign w:val="center"/>
            <w:shd w:val="clear" w:fill="white"/>
          </w:tcPr>
          <w:p>
            <w:pPr/>
            <w:r>
              <w:rPr/>
              <w:t xml:space="preserve">ER2-MotDePasseDuCoffreFort</w:t>
            </w:r>
          </w:p>
        </w:tc>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16</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1</w:t>
            </w:r>
          </w:p>
        </w:tc>
        <w:tc>
          <w:tcPr>
            <w:tcW w:w="1" w:type="dxa"/>
            <w:vAlign w:val="center"/>
            <w:shd w:val="clear" w:fill="white"/>
          </w:tcPr>
          <w:p>
            <w:pPr/>
            <w:r>
              <w:rPr/>
              <w:t xml:space="preserve">0</w:t>
            </w:r>
          </w:p>
        </w:tc>
        <w:tc>
          <w:tcPr>
            <w:tcW w:w="1" w:type="dxa"/>
            <w:vAlign w:val="center"/>
            <w:shd w:val="clear" w:fill="white"/>
          </w:tcPr>
          <w:p>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16"/>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790E" w14:textId="77777777" w:rsidR="00162FC5" w:rsidRDefault="00162FC5" w:rsidP="005E0813">
      <w:pPr>
        <w:spacing w:after="0" w:line="240" w:lineRule="auto"/>
      </w:pPr>
      <w:r>
        <w:separator/>
      </w:r>
    </w:p>
  </w:endnote>
  <w:endnote w:type="continuationSeparator" w:id="0">
    <w:p w14:paraId="773AA35B" w14:textId="77777777" w:rsidR="00162FC5" w:rsidRDefault="00162FC5"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5" w:type="dxa"/>
      <w:tblLook w:val="04A0" w:firstRow="1" w:lastRow="0" w:firstColumn="1" w:lastColumn="0" w:noHBand="0" w:noVBand="1"/>
    </w:tblPr>
    <w:tblGrid>
      <w:gridCol w:w="1886"/>
      <w:gridCol w:w="2650"/>
      <w:gridCol w:w="4536"/>
      <w:gridCol w:w="1221"/>
    </w:tblGrid>
    <w:tr w:rsidR="00173390" w14:paraId="3E756169" w14:textId="77777777" w:rsidTr="00275CFA">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275CFA">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1368" w14:textId="77777777" w:rsidR="00162FC5" w:rsidRDefault="00162FC5" w:rsidP="005E0813">
      <w:pPr>
        <w:spacing w:after="0" w:line="240" w:lineRule="auto"/>
      </w:pPr>
      <w:r>
        <w:separator/>
      </w:r>
    </w:p>
  </w:footnote>
  <w:footnote w:type="continuationSeparator" w:id="0">
    <w:p w14:paraId="25F6ADA3" w14:textId="77777777" w:rsidR="00162FC5" w:rsidRDefault="00162FC5"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1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6C46A8DC">
              <wp:simplePos x="0" y="0"/>
              <wp:positionH relativeFrom="margin">
                <wp:align>right</wp:align>
              </wp:positionH>
              <wp:positionV relativeFrom="page">
                <wp:posOffset>402590</wp:posOffset>
              </wp:positionV>
              <wp:extent cx="8566150" cy="434975"/>
              <wp:effectExtent l="0" t="0" r="6350" b="3175"/>
              <wp:wrapSquare wrapText="bothSides"/>
              <wp:docPr id="1" name="Rectangle 1"/>
              <wp:cNvGraphicFramePr/>
              <a:graphic xmlns:a="http://schemas.openxmlformats.org/drawingml/2006/main">
                <a:graphicData uri="http://schemas.microsoft.com/office/word/2010/wordprocessingShape">
                  <wps:wsp>
                    <wps:cNvSpPr/>
                    <wps:spPr>
                      <a:xfrm>
                        <a:off x="0" y="0"/>
                        <a:ext cx="85661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623.3pt;margin-top:31.7pt;width:674.5pt;height:34.25pt;z-index:-251643904;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web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62</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13</cp:revision>
  <dcterms:created xsi:type="dcterms:W3CDTF">2021-05-20T19:05:00Z</dcterms:created>
  <dcterms:modified xsi:type="dcterms:W3CDTF">2021-05-21T18:57:00Z</dcterms:modified>
</cp:coreProperties>
</file>