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91786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936241">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936241">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936241">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936241">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936241">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936241">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936241">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936241">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936241">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936241">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936241">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936241">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936241">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936241">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936241">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936241">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936241">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936241">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936241">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936241">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936241">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936241">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936241">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936241">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936241">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936241">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936241">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936241">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936241">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936241">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936241">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936241">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936241">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936241">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936241">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936241">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936241">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936241">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936241">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936241">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936241">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936241">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936241">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936241">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936241">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936241">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936241">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936241">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936241">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936241">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936241">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936241">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936241">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936241">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936241">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936241">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936241">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936241">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936241">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936241">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936241">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936241">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936241">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936241">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936241">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936241">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4"/>
          <w:footerReference w:type="default" r:id="rId15"/>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3685.03937007874"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 Cadrer l’étude</w:t>
            </w:r>
          </w:p>
        </w:tc>
        <w:tc>
          <w:tcPr>
            <w:tcW w:w="1" w:type="dxa"/>
            <w:textDirection w:val="btLr"/>
            <w:vAlign w:val="bottom"/>
            <w:shd w:val="clear" w:fill="#DCDCDC"/>
          </w:tcPr>
          <w:p>
            <w:pPr>
              <w:jc w:val="center"/>
            </w:pPr>
            <w:r>
              <w:rPr>
                <w:b w:val="1"/>
                <w:bCs w:val="1"/>
              </w:rPr>
              <w:t xml:space="preserve">1.b Biens primordiaux/support</w:t>
            </w:r>
          </w:p>
        </w:tc>
        <w:tc>
          <w:tcPr>
            <w:tcW w:w="1" w:type="dxa"/>
            <w:textDirection w:val="btLr"/>
            <w:vAlign w:val="bottom"/>
            <w:shd w:val="clear" w:fill="#DCDCDC"/>
          </w:tcPr>
          <w:p>
            <w:pPr>
              <w:jc w:val="center"/>
            </w:pPr>
            <w:r>
              <w:rPr>
                <w:b w:val="1"/>
                <w:bCs w:val="1"/>
              </w:rPr>
              <w:t xml:space="preserve">1.c Événements redoutés</w:t>
            </w:r>
          </w:p>
        </w:tc>
        <w:tc>
          <w:tcPr>
            <w:tcW w:w="1" w:type="dxa"/>
            <w:textDirection w:val="btLr"/>
            <w:vAlign w:val="bottom"/>
            <w:shd w:val="clear" w:fill="#DCDCDC"/>
          </w:tcPr>
          <w:p>
            <w:pPr>
              <w:jc w:val="center"/>
            </w:pPr>
            <w:r>
              <w:rPr>
                <w:b w:val="1"/>
                <w:bCs w:val="1"/>
              </w:rPr>
              <w:t xml:space="preserve">1.d Le socle de sécurité</w:t>
            </w:r>
          </w:p>
        </w:tc>
        <w:tc>
          <w:tcPr>
            <w:tcW w:w="1" w:type="dxa"/>
            <w:textDirection w:val="btLr"/>
            <w:vAlign w:val="bottom"/>
            <w:shd w:val="clear" w:fill="#DCDCDC"/>
          </w:tcPr>
          <w:p>
            <w:pPr>
              <w:jc w:val="center"/>
            </w:pPr>
            <w:r>
              <w:rPr>
                <w:b w:val="1"/>
                <w:bCs w:val="1"/>
              </w:rPr>
              <w:t xml:space="preserve">2.a Identifier les sources de risques et les objectifs</w:t>
            </w:r>
          </w:p>
        </w:tc>
        <w:tc>
          <w:tcPr>
            <w:tcW w:w="1" w:type="dxa"/>
            <w:textDirection w:val="btLr"/>
            <w:vAlign w:val="bottom"/>
            <w:shd w:val="clear" w:fill="#DCDCDC"/>
          </w:tcPr>
          <w:p>
            <w:pPr>
              <w:jc w:val="center"/>
            </w:pPr>
            <w:r>
              <w:rPr>
                <w:b w:val="1"/>
                <w:bCs w:val="1"/>
              </w:rPr>
              <w:t xml:space="preserve">2.b Évaluer les couples sources de risque/objectifs visés</w:t>
            </w:r>
          </w:p>
        </w:tc>
        <w:tc>
          <w:tcPr>
            <w:tcW w:w="1" w:type="dxa"/>
            <w:textDirection w:val="btLr"/>
            <w:vAlign w:val="bottom"/>
            <w:shd w:val="clear" w:fill="#DCDCDC"/>
          </w:tcPr>
          <w:p>
            <w:pPr>
              <w:jc w:val="center"/>
            </w:pPr>
            <w:r>
              <w:rPr>
                <w:b w:val="1"/>
                <w:bCs w:val="1"/>
              </w:rPr>
              <w:t xml:space="preserve">2.c Sélectionner les couples SR/OV retenus pour la suite de l'analyse</w:t>
            </w:r>
          </w:p>
        </w:tc>
        <w:tc>
          <w:tcPr>
            <w:tcW w:w="1" w:type="dxa"/>
            <w:textDirection w:val="btLr"/>
            <w:vAlign w:val="bottom"/>
            <w:shd w:val="clear" w:fill="#DCDCDC"/>
          </w:tcPr>
          <w:p>
            <w:pPr>
              <w:jc w:val="center"/>
            </w:pPr>
            <w:r>
              <w:rPr>
                <w:b w:val="1"/>
                <w:bCs w:val="1"/>
              </w:rPr>
              <w:t xml:space="preserve">3.a Construire la cartographie des menaces numériques de l'écosystème et sélectionner les parties prenantes critiques</w:t>
            </w:r>
          </w:p>
        </w:tc>
        <w:tc>
          <w:tcPr>
            <w:tcW w:w="1" w:type="dxa"/>
            <w:textDirection w:val="btLr"/>
            <w:vAlign w:val="bottom"/>
            <w:shd w:val="clear" w:fill="#DCDCDC"/>
          </w:tcPr>
          <w:p>
            <w:pPr>
              <w:jc w:val="center"/>
            </w:pPr>
            <w:r>
              <w:rPr>
                <w:b w:val="1"/>
                <w:bCs w:val="1"/>
              </w:rPr>
              <w:t xml:space="preserve">3.b Élaborer des scénarios stratégiques</w:t>
            </w:r>
          </w:p>
        </w:tc>
        <w:tc>
          <w:tcPr>
            <w:tcW w:w="1" w:type="dxa"/>
            <w:textDirection w:val="btLr"/>
            <w:vAlign w:val="bottom"/>
            <w:shd w:val="clear" w:fill="#DCDCDC"/>
          </w:tcPr>
          <w:p>
            <w:pPr>
              <w:jc w:val="center"/>
            </w:pPr>
            <w:r>
              <w:rPr>
                <w:b w:val="1"/>
                <w:bCs w:val="1"/>
              </w:rPr>
              <w:t xml:space="preserve">3.c Définir des mesures de sécurité sur l’écosystème</w:t>
            </w:r>
          </w:p>
        </w:tc>
        <w:tc>
          <w:tcPr>
            <w:tcW w:w="1" w:type="dxa"/>
            <w:textDirection w:val="btLr"/>
            <w:vAlign w:val="bottom"/>
            <w:shd w:val="clear" w:fill="#DCDCDC"/>
          </w:tcPr>
          <w:p>
            <w:pPr>
              <w:jc w:val="center"/>
            </w:pPr>
            <w:r>
              <w:rPr>
                <w:b w:val="1"/>
                <w:bCs w:val="1"/>
              </w:rPr>
              <w:t xml:space="preserve">4.a Élaborer les scénarios opérationnels</w:t>
            </w:r>
          </w:p>
        </w:tc>
        <w:tc>
          <w:tcPr>
            <w:tcW w:w="1" w:type="dxa"/>
            <w:textDirection w:val="btLr"/>
            <w:vAlign w:val="bottom"/>
            <w:shd w:val="clear" w:fill="#DCDCDC"/>
          </w:tcPr>
          <w:p>
            <w:pPr>
              <w:jc w:val="center"/>
            </w:pPr>
            <w:r>
              <w:rPr>
                <w:b w:val="1"/>
                <w:bCs w:val="1"/>
              </w:rPr>
              <w:t xml:space="preserve">4.b Évaluer la vraisemblance des scénarios opérationnels</w:t>
            </w:r>
          </w:p>
        </w:tc>
        <w:tc>
          <w:tcPr>
            <w:tcW w:w="1" w:type="dxa"/>
            <w:textDirection w:val="btLr"/>
            <w:vAlign w:val="bottom"/>
            <w:shd w:val="clear" w:fill="#DCDCDC"/>
          </w:tcPr>
          <w:p>
            <w:pPr>
              <w:jc w:val="center"/>
            </w:pPr>
            <w:r>
              <w:rPr>
                <w:b w:val="1"/>
                <w:bCs w:val="1"/>
              </w:rPr>
              <w:t xml:space="preserve">5.a Réaliser une synthèse des scénarios de risque</w:t>
            </w:r>
          </w:p>
        </w:tc>
        <w:tc>
          <w:tcPr>
            <w:tcW w:w="1" w:type="dxa"/>
            <w:textDirection w:val="btLr"/>
            <w:vAlign w:val="bottom"/>
            <w:shd w:val="clear" w:fill="#DCDCDC"/>
          </w:tcPr>
          <w:p>
            <w:pPr>
              <w:jc w:val="center"/>
            </w:pPr>
            <w:r>
              <w:rPr>
                <w:b w:val="1"/>
                <w:bCs w:val="1"/>
              </w:rPr>
              <w:t xml:space="preserve">5.b Décider de la stratégie de traitement du risque et définir les mesures de sécurité</w:t>
            </w:r>
          </w:p>
        </w:tc>
        <w:tc>
          <w:tcPr>
            <w:tcW w:w="1" w:type="dxa"/>
            <w:textDirection w:val="btLr"/>
            <w:vAlign w:val="bottom"/>
            <w:shd w:val="clear" w:fill="#DCDCDC"/>
          </w:tcPr>
          <w:p>
            <w:pPr>
              <w:jc w:val="center"/>
            </w:pPr>
            <w:r>
              <w:rPr>
                <w:b w:val="1"/>
                <w:bCs w:val="1"/>
              </w:rPr>
              <w:t xml:space="preserve">5.c Évaluer et documenter les risques résiduels</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936241">
        <w:fldChar w:fldCharType="begin"/>
      </w:r>
      <w:r w:rsidR="00936241">
        <w:instrText xml:space="preserve"> SEQ Tableau \* ARABIC </w:instrText>
      </w:r>
      <w:r w:rsidR="00936241">
        <w:fldChar w:fldCharType="separate"/>
      </w:r>
      <w:r w:rsidR="00E5663A">
        <w:rPr>
          <w:noProof/>
        </w:rPr>
        <w:t>2</w:t>
      </w:r>
      <w:r w:rsidR="00936241">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3</w:t>
      </w:r>
      <w:r w:rsidR="00936241">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7FD07125"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4</w:t>
      </w:r>
      <w:r w:rsidR="00936241">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77777777" w:rsidR="00AB6C77" w:rsidRDefault="00AB6C77" w:rsidP="00AB6C7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5</w:t>
      </w:r>
      <w:r w:rsidR="00936241">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77777777" w:rsidR="00475B37" w:rsidRDefault="00475B37" w:rsidP="00475B3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6</w:t>
      </w:r>
      <w:r w:rsidR="00936241">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5E22D493" w:rsidR="00CB21A1" w:rsidRDefault="00475B37" w:rsidP="00475B37">
      <w:pPr>
        <w:pStyle w:val="Lgende"/>
        <w:jc w:val="center"/>
        <w:rPr>
          <w:color w:val="FF0000"/>
        </w:rPr>
      </w:pPr>
      <w:r>
        <w:t xml:space="preserve">Tableau </w:t>
      </w:r>
      <w:r w:rsidR="00936241">
        <w:fldChar w:fldCharType="begin"/>
      </w:r>
      <w:r w:rsidR="00936241">
        <w:instrText xml:space="preserve"> SEQ Tableau \* AR</w:instrText>
      </w:r>
      <w:r w:rsidR="00936241">
        <w:instrText xml:space="preserve">ABIC </w:instrText>
      </w:r>
      <w:r w:rsidR="00936241">
        <w:fldChar w:fldCharType="separate"/>
      </w:r>
      <w:r w:rsidR="00E5663A">
        <w:rPr>
          <w:noProof/>
        </w:rPr>
        <w:t>7</w:t>
      </w:r>
      <w:r w:rsidR="00936241">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12</w:t>
      </w:r>
      <w:r w:rsidR="00936241">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3D3D26B5" w14:textId="77777777" w:rsidR="00ED48EA" w:rsidRDefault="00ED48EA" w:rsidP="00ED48EA">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14</w:t>
      </w:r>
      <w:r w:rsidR="00936241">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936241">
        <w:fldChar w:fldCharType="begin"/>
      </w:r>
      <w:r w:rsidR="00936241">
        <w:instrText xml:space="preserve"> SEQ Figure \* ARABIC </w:instrText>
      </w:r>
      <w:r w:rsidR="00936241">
        <w:fldChar w:fldCharType="separate"/>
      </w:r>
      <w:r w:rsidR="00E5663A">
        <w:rPr>
          <w:noProof/>
        </w:rPr>
        <w:t>1</w:t>
      </w:r>
      <w:r w:rsidR="00936241">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stratégique</w:t>
            </w:r>
          </w:p>
        </w:tc>
        <w:tc>
          <w:tcPr>
            <w:vAlign w:val="center"/>
            <w:shd w:val="clear" w:fill="DCDCDC"/>
          </w:tcPr>
          <w:p>
            <w:pPr>
              <w:jc w:val="center"/>
            </w:pPr>
            <w:r>
              <w:rPr>
                <w:b w:val="1"/>
                <w:bCs w:val="1"/>
              </w:rPr>
              <w:t xml:space="preserve">Source de risque: Objectif visé</w:t>
            </w:r>
          </w:p>
        </w:tc>
        <w:tc>
          <w:tcPr>
            <w:vAlign w:val="center"/>
            <w:shd w:val="clear" w:fill="DCDCDC"/>
          </w:tcPr>
          <w:p>
            <w:pPr>
              <w:jc w:val="center"/>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scnénario stratégique</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Événements redoutés</w:t>
            </w:r>
          </w:p>
        </w:tc>
        <w:tc>
          <w:tcPr>
            <w:vAlign w:val="center"/>
            <w:shd w:val="clear" w:fill="DCDCDC"/>
          </w:tcPr>
          <w:p>
            <w:pPr>
              <w:jc w:val="center"/>
            </w:pPr>
            <w:r>
              <w:rPr>
                <w:b w:val="1"/>
                <w:bCs w:val="1"/>
              </w:rPr>
              <w:t xml:space="preserve">N° Risque</w:t>
            </w:r>
          </w:p>
        </w:tc>
        <w:tc>
          <w:tcPr>
            <w:vAlign w:val="center"/>
            <w:shd w:val="clear" w:fill="DCDCDC"/>
          </w:tcPr>
          <w:p>
            <w:pPr>
              <w:jc w:val="center"/>
            </w:pPr>
            <w:r>
              <w:rPr>
                <w:b w:val="1"/>
                <w:bCs w:val="1"/>
              </w:rPr>
              <w:t xml:space="preserve">Chemin d'attaques stratégiques</w:t>
            </w:r>
          </w:p>
        </w:tc>
        <w:tc>
          <w:tcPr>
            <w:vAlign w:val="center"/>
            <w:shd w:val="clear" w:fill="DCDCDC"/>
          </w:tcPr>
          <w:p>
            <w:pPr>
              <w:jc w:val="center"/>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5</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tcPr>
          <w:p>
            <w:pPr/>
            <w:r>
              <w:rPr/>
              <w:t xml:space="preserve">R1</w:t>
            </w:r>
          </w:p>
        </w:tc>
        <w:tc>
          <w:tcPr>
            <w:tcW w:w="1" w:type="dxa"/>
            <w:vAlign w:val="center"/>
          </w:tcPr>
          <w:p>
            <w:pPr/>
            <w:r>
              <w:rPr/>
              <w:t xml:space="preserve">R2</w:t>
            </w:r>
          </w:p>
        </w:tc>
        <w:tc>
          <w:tcPr>
            <w:tcW w:w="1" w:type="dxa"/>
            <w:vAlign w:val="center"/>
          </w:tcPr>
          <w:p>
            <w:pPr/>
            <w:r>
              <w:rPr/>
              <w:t xml:space="preserve"/>
            </w:r>
          </w:p>
        </w:tc>
        <w:tc>
          <w:tcPr>
            <w:tcW w:w="1" w:type="dxa"/>
            <w:vAlign w:val="center"/>
          </w:tcPr>
          <w:p>
            <w:pPr/>
            <w:r>
              <w:rPr/>
              <w:t xml:space="preserve"/>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Pr>
          <w:p>
            <w:pPr/>
            <w:r>
              <w:rPr/>
              <w:t xml:space="preserve">vide1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vAlign w:val="center"/>
            <w:tcBorders>
              <w:top w:val="single" w:sz="6" w:color="white"/>
              <w:left w:val="single" w:sz="6" w:color="white"/>
              <w:right w:val="single" w:sz="6" w:color="white"/>
              <w:bottom w:val="single" w:sz="6" w:color="white"/>
            </w:tcBorders>
            <w:shd w:val="clear" w:fill="FFFFFF"/>
          </w:tcPr>
          <w:p>
            <w:pPr/>
            <w:r>
              <w:rPr/>
              <w:t xml:space="preserve">  </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1</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2</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3</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4</w:t>
            </w:r>
          </w:p>
        </w:tc>
        <w:tc>
          <w:tcPr>
            <w:tcW w:w="1" w:type="dxa"/>
            <w:vAlign w:val="center"/>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21"/>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F907" w14:textId="77777777" w:rsidR="00936241" w:rsidRDefault="00936241" w:rsidP="005E0813">
      <w:pPr>
        <w:spacing w:after="0" w:line="240" w:lineRule="auto"/>
      </w:pPr>
      <w:r>
        <w:separator/>
      </w:r>
    </w:p>
  </w:endnote>
  <w:endnote w:type="continuationSeparator" w:id="0">
    <w:p w14:paraId="423C3D47" w14:textId="77777777" w:rsidR="00936241" w:rsidRDefault="00936241"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AF59" w14:textId="77777777" w:rsidR="00657E01" w:rsidRDefault="00657E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2252" w:type="dxa"/>
      <w:tblLook w:val="04A0" w:firstRow="1" w:lastRow="0" w:firstColumn="1" w:lastColumn="0" w:noHBand="0" w:noVBand="1"/>
    </w:tblPr>
    <w:tblGrid>
      <w:gridCol w:w="1886"/>
      <w:gridCol w:w="2650"/>
      <w:gridCol w:w="4536"/>
      <w:gridCol w:w="1221"/>
    </w:tblGrid>
    <w:tr w:rsidR="00173390" w14:paraId="3E756169" w14:textId="77777777" w:rsidTr="00657E01">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657E01">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CE6" w14:textId="77777777" w:rsidR="00657E01" w:rsidRDefault="00657E0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2650"/>
      <w:gridCol w:w="4536"/>
      <w:gridCol w:w="1221"/>
    </w:tblGrid>
    <w:tr w:rsidR="00657E01" w14:paraId="1124FCCF" w14:textId="77777777" w:rsidTr="00657E01">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2650" w:type="dxa"/>
        </w:tcPr>
        <w:p w14:paraId="62DDEF0E" w14:textId="77777777" w:rsidR="00657E01" w:rsidRDefault="00657E01" w:rsidP="00173390">
          <w:pPr>
            <w:pStyle w:val="Pieddepage"/>
          </w:pPr>
          <w:r>
            <w:t>Référence du document</w:t>
          </w:r>
        </w:p>
      </w:tc>
      <w:tc>
        <w:tcPr>
          <w:tcW w:w="4536" w:type="dxa"/>
        </w:tcPr>
        <w:p w14:paraId="7728E1DF" w14:textId="77777777" w:rsidR="00657E01" w:rsidRDefault="00657E01" w:rsidP="00275CFA">
          <w:pPr>
            <w:pStyle w:val="Pieddepage"/>
            <w:tabs>
              <w:tab w:val="clear" w:pos="4536"/>
              <w:tab w:val="clear" w:pos="9072"/>
              <w:tab w:val="right" w:pos="3612"/>
            </w:tabs>
          </w:pPr>
          <w:r>
            <w:t>Version</w:t>
          </w:r>
          <w:r>
            <w:tab/>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657E01">
      <w:trPr>
        <w:trHeight w:val="359"/>
        <w:jc w:val="center"/>
      </w:trPr>
      <w:tc>
        <w:tcPr>
          <w:tcW w:w="1886" w:type="dxa"/>
          <w:vMerge/>
        </w:tcPr>
        <w:p w14:paraId="530356A8" w14:textId="77777777" w:rsidR="00657E01" w:rsidRDefault="00657E01" w:rsidP="00173390">
          <w:pPr>
            <w:pStyle w:val="Pieddepage"/>
          </w:pPr>
        </w:p>
      </w:tc>
      <w:tc>
        <w:tcPr>
          <w:tcW w:w="2650" w:type="dxa"/>
        </w:tcPr>
        <w:p w14:paraId="4220537B" w14:textId="77777777" w:rsidR="00657E01" w:rsidRDefault="00657E01" w:rsidP="00173390">
          <w:pPr>
            <w:pStyle w:val="Pieddepage"/>
          </w:pPr>
          <w:r>
            <w:t>${Référence document}</w:t>
          </w:r>
        </w:p>
      </w:tc>
      <w:tc>
        <w:tcPr>
          <w:tcW w:w="4536" w:type="dxa"/>
        </w:tcPr>
        <w:p w14:paraId="6D2F7776" w14:textId="77777777" w:rsidR="00657E01" w:rsidRDefault="00657E01" w:rsidP="00173390">
          <w:pPr>
            <w:pStyle w:val="Pieddepage"/>
          </w:pPr>
          <w:r>
            <w:t>${Version document}</w:t>
          </w:r>
        </w:p>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FD30" w14:textId="77777777" w:rsidR="00936241" w:rsidRDefault="00936241" w:rsidP="005E0813">
      <w:pPr>
        <w:spacing w:after="0" w:line="240" w:lineRule="auto"/>
      </w:pPr>
      <w:r>
        <w:separator/>
      </w:r>
    </w:p>
  </w:footnote>
  <w:footnote w:type="continuationSeparator" w:id="0">
    <w:p w14:paraId="744DEDE5" w14:textId="77777777" w:rsidR="00936241" w:rsidRDefault="00936241"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0380" w14:textId="77777777" w:rsidR="00657E01" w:rsidRDefault="00657E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7589" w14:textId="77777777" w:rsidR="00657E01" w:rsidRDefault="00657E0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A5B71"/>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657E01"/>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17865"/>
    <w:rsid w:val="00936241"/>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web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64</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15</cp:revision>
  <dcterms:created xsi:type="dcterms:W3CDTF">2021-05-20T19:05:00Z</dcterms:created>
  <dcterms:modified xsi:type="dcterms:W3CDTF">2021-05-28T10:40:00Z</dcterms:modified>
</cp:coreProperties>
</file>