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6480" w:leader="none"/>
        </w:tabs>
        <w:spacing w:before="0" w:after="0"/>
        <w:jc w:val="center"/>
        <w:rPr>
          <w:rFonts w:ascii="Arial" w:hAnsi="Arial" w:cs="Arial"/>
          <w:b/>
          <w:bCs/>
          <w:sz w:val="26"/>
          <w:szCs w:val="26"/>
          <w:lang w:val="en-US"/>
        </w:rPr>
      </w:pPr>
      <w:r>
        <w:rPr>
          <w:rFonts w:cs="Arial" w:ascii="Arial" w:hAnsi="Arial"/>
          <w:b/>
          <w:bCs/>
          <w:sz w:val="26"/>
          <w:szCs w:val="26"/>
          <w:lang w:val="en-US"/>
        </w:rPr>
        <w:t>CERTIFICATE OF ANALYSIS</w:t>
      </w:r>
    </w:p>
    <w:p>
      <w:pPr>
        <w:pStyle w:val="Normal"/>
        <w:tabs>
          <w:tab w:val="clear" w:pos="720"/>
          <w:tab w:val="left" w:pos="6480" w:leader="none"/>
        </w:tabs>
        <w:spacing w:before="0" w:after="0"/>
        <w:jc w:val="center"/>
        <w:rPr>
          <w:rFonts w:ascii="Arial" w:hAnsi="Arial" w:cs="Arial"/>
          <w:b/>
          <w:bCs/>
          <w:sz w:val="26"/>
          <w:szCs w:val="26"/>
          <w:lang w:val="en-US"/>
        </w:rPr>
      </w:pPr>
      <w:r>
        <w:rPr>
          <w:rFonts w:cs="Arial" w:ascii="Arial" w:hAnsi="Arial"/>
          <w:b/>
          <w:bCs/>
          <w:sz w:val="26"/>
          <w:szCs w:val="26"/>
          <w:lang w:val="en-US"/>
        </w:rPr>
      </w:r>
    </w:p>
    <w:tbl>
      <w:tblPr>
        <w:tblW w:w="9403" w:type="dxa"/>
        <w:jc w:val="start"/>
        <w:tblInd w:w="93" w:type="dxa"/>
        <w:tblLayout w:type="fixed"/>
        <w:tblCellMar>
          <w:top w:w="0" w:type="dxa"/>
          <w:start w:w="108" w:type="dxa"/>
          <w:bottom w:w="0" w:type="dxa"/>
          <w:end w:w="108" w:type="dxa"/>
        </w:tblCellMar>
      </w:tblPr>
      <w:tblGrid>
        <w:gridCol w:w="2895"/>
        <w:gridCol w:w="2340"/>
        <w:gridCol w:w="1800"/>
        <w:gridCol w:w="2368"/>
      </w:tblGrid>
      <w:tr>
        <w:trPr>
          <w:trHeight w:val="75" w:hRule="atLeast"/>
        </w:trPr>
        <w:tc>
          <w:tcPr>
            <w:tcW w:w="2895"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sz w:val="24"/>
                <w:szCs w:val="24"/>
              </w:rPr>
            </w:pPr>
            <w:r>
              <w:rPr>
                <w:sz w:val="24"/>
                <w:szCs w:val="24"/>
              </w:rPr>
              <w:t xml:space="preserve">Product Name:  </w:t>
            </w:r>
          </w:p>
        </w:tc>
        <w:tc>
          <w:tcPr>
            <w:tcW w:w="2340"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b/>
                <w:bCs/>
                <w:sz w:val="24"/>
                <w:szCs w:val="24"/>
                <w:lang w:val="en-US"/>
              </w:rPr>
            </w:pPr>
            <w:r>
              <w:rPr>
                <w:b/>
                <w:bCs/>
                <w:sz w:val="24"/>
                <w:szCs w:val="24"/>
                <w:lang w:val="en-US"/>
              </w:rPr>
              <w:t>Empagliflozin</w:t>
            </w:r>
          </w:p>
        </w:tc>
        <w:tc>
          <w:tcPr>
            <w:tcW w:w="1800"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sz w:val="24"/>
                <w:szCs w:val="24"/>
              </w:rPr>
            </w:pPr>
            <w:r>
              <w:rPr>
                <w:sz w:val="24"/>
                <w:szCs w:val="24"/>
              </w:rPr>
              <w:t>Test Date:</w:t>
            </w:r>
          </w:p>
        </w:tc>
        <w:tc>
          <w:tcPr>
            <w:tcW w:w="2368"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sz w:val="24"/>
                <w:szCs w:val="24"/>
              </w:rPr>
            </w:pPr>
            <w:r>
              <w:rPr>
                <w:sz w:val="24"/>
                <w:szCs w:val="24"/>
              </w:rPr>
              <w:t>25.06.2026</w:t>
            </w:r>
          </w:p>
        </w:tc>
      </w:tr>
      <w:tr>
        <w:trPr>
          <w:trHeight w:val="75" w:hRule="atLeast"/>
        </w:trPr>
        <w:tc>
          <w:tcPr>
            <w:tcW w:w="2895"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sz w:val="24"/>
                <w:szCs w:val="24"/>
              </w:rPr>
            </w:pPr>
            <w:r>
              <w:rPr>
                <w:sz w:val="24"/>
                <w:szCs w:val="24"/>
              </w:rPr>
              <w:t xml:space="preserve">Net weight: </w:t>
            </w:r>
          </w:p>
        </w:tc>
        <w:tc>
          <w:tcPr>
            <w:tcW w:w="2340"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pPr>
            <w:r>
              <w:rPr>
                <w:sz w:val="24"/>
                <w:szCs w:val="24"/>
              </w:rPr>
              <w:t>50 kg</w:t>
            </w:r>
          </w:p>
        </w:tc>
        <w:tc>
          <w:tcPr>
            <w:tcW w:w="1800"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sz w:val="24"/>
                <w:szCs w:val="24"/>
              </w:rPr>
            </w:pPr>
            <w:r>
              <w:rPr>
                <w:sz w:val="24"/>
                <w:szCs w:val="24"/>
              </w:rPr>
              <w:t>Batch</w:t>
            </w:r>
            <w:r>
              <w:rPr>
                <w:rFonts w:hint="eastAsia"/>
                <w:sz w:val="24"/>
                <w:szCs w:val="24"/>
              </w:rPr>
              <w:t xml:space="preserve"> </w:t>
            </w:r>
            <w:r>
              <w:rPr>
                <w:sz w:val="24"/>
                <w:szCs w:val="24"/>
              </w:rPr>
              <w:t>N</w:t>
            </w:r>
            <w:r>
              <w:rPr>
                <w:rFonts w:hint="eastAsia"/>
                <w:sz w:val="24"/>
                <w:szCs w:val="24"/>
              </w:rPr>
              <w:t xml:space="preserve">o: </w:t>
            </w:r>
          </w:p>
        </w:tc>
        <w:tc>
          <w:tcPr>
            <w:tcW w:w="2368"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sz w:val="24"/>
                <w:szCs w:val="24"/>
              </w:rPr>
            </w:pPr>
            <w:r>
              <w:rPr>
                <w:sz w:val="24"/>
                <w:szCs w:val="24"/>
              </w:rPr>
              <w:t>C010026061901</w:t>
            </w:r>
          </w:p>
        </w:tc>
      </w:tr>
      <w:tr>
        <w:trPr>
          <w:trHeight w:val="75" w:hRule="atLeast"/>
        </w:trPr>
        <w:tc>
          <w:tcPr>
            <w:tcW w:w="2895"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sz w:val="24"/>
                <w:szCs w:val="24"/>
              </w:rPr>
            </w:pPr>
            <w:r>
              <w:rPr>
                <w:sz w:val="24"/>
                <w:szCs w:val="24"/>
              </w:rPr>
              <w:t>Manufacture Date:</w:t>
            </w:r>
          </w:p>
        </w:tc>
        <w:tc>
          <w:tcPr>
            <w:tcW w:w="2340"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sz w:val="24"/>
                <w:szCs w:val="24"/>
              </w:rPr>
            </w:pPr>
            <w:r>
              <w:rPr>
                <w:sz w:val="24"/>
                <w:szCs w:val="24"/>
              </w:rPr>
              <w:t>19.06.2026</w:t>
            </w:r>
          </w:p>
        </w:tc>
        <w:tc>
          <w:tcPr>
            <w:tcW w:w="1800"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pPr>
            <w:r>
              <w:rPr>
                <w:sz w:val="24"/>
                <w:szCs w:val="24"/>
              </w:rPr>
              <w:t>Exp Date:</w:t>
            </w:r>
          </w:p>
        </w:tc>
        <w:tc>
          <w:tcPr>
            <w:tcW w:w="2368"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sz w:val="24"/>
                <w:szCs w:val="24"/>
              </w:rPr>
            </w:pPr>
            <w:r>
              <w:rPr>
                <w:sz w:val="24"/>
                <w:szCs w:val="24"/>
              </w:rPr>
              <w:t>18.06.2028</w:t>
            </w:r>
          </w:p>
        </w:tc>
      </w:tr>
    </w:tbl>
    <w:p>
      <w:pPr>
        <w:pStyle w:val="Normal"/>
        <w:rPr/>
      </w:pPr>
      <w:r>
        <w:rPr/>
      </w:r>
    </w:p>
    <w:tbl>
      <w:tblPr>
        <w:tblW w:w="9388" w:type="dxa"/>
        <w:jc w:val="start"/>
        <w:tblInd w:w="93" w:type="dxa"/>
        <w:tblLayout w:type="fixed"/>
        <w:tblCellMar>
          <w:top w:w="0" w:type="dxa"/>
          <w:start w:w="108" w:type="dxa"/>
          <w:bottom w:w="0" w:type="dxa"/>
          <w:end w:w="108" w:type="dxa"/>
        </w:tblCellMar>
      </w:tblPr>
      <w:tblGrid>
        <w:gridCol w:w="2992"/>
        <w:gridCol w:w="4032"/>
        <w:gridCol w:w="2364"/>
      </w:tblGrid>
      <w:tr>
        <w:trPr>
          <w:trHeight w:val="75" w:hRule="atLeast"/>
        </w:trPr>
        <w:tc>
          <w:tcPr>
            <w:tcW w:w="2992"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rFonts w:hint="eastAsia"/>
                <w:b/>
                <w:bCs/>
                <w:sz w:val="24"/>
                <w:szCs w:val="24"/>
              </w:rPr>
            </w:pPr>
            <w:r>
              <w:rPr>
                <w:rFonts w:hint="eastAsia"/>
                <w:b/>
                <w:bCs/>
                <w:sz w:val="24"/>
                <w:szCs w:val="24"/>
              </w:rPr>
              <w:t>Items</w:t>
            </w:r>
          </w:p>
        </w:tc>
        <w:tc>
          <w:tcPr>
            <w:tcW w:w="4032"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rFonts w:hint="eastAsia"/>
                <w:b/>
                <w:bCs/>
                <w:sz w:val="24"/>
                <w:szCs w:val="24"/>
              </w:rPr>
            </w:pPr>
            <w:r>
              <w:rPr>
                <w:b/>
                <w:bCs/>
                <w:sz w:val="24"/>
                <w:szCs w:val="24"/>
              </w:rPr>
              <w:t>SPECIFICATION</w:t>
            </w:r>
          </w:p>
        </w:tc>
        <w:tc>
          <w:tcPr>
            <w:tcW w:w="2364"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b/>
                <w:bCs/>
                <w:sz w:val="24"/>
                <w:szCs w:val="24"/>
              </w:rPr>
            </w:pPr>
            <w:r>
              <w:rPr>
                <w:b/>
                <w:bCs/>
                <w:sz w:val="24"/>
                <w:szCs w:val="24"/>
              </w:rPr>
              <w:t>Result</w:t>
            </w:r>
          </w:p>
        </w:tc>
      </w:tr>
      <w:tr>
        <w:trPr>
          <w:trHeight w:val="647" w:hRule="atLeast"/>
        </w:trPr>
        <w:tc>
          <w:tcPr>
            <w:tcW w:w="2992"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sz w:val="24"/>
                <w:szCs w:val="24"/>
              </w:rPr>
            </w:pPr>
            <w:r>
              <w:rPr>
                <w:sz w:val="24"/>
                <w:szCs w:val="24"/>
              </w:rPr>
              <w:t>Appearance</w:t>
            </w:r>
          </w:p>
        </w:tc>
        <w:tc>
          <w:tcPr>
            <w:tcW w:w="4032"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sz w:val="24"/>
                <w:szCs w:val="24"/>
              </w:rPr>
            </w:pPr>
            <w:r>
              <w:rPr>
                <w:sz w:val="24"/>
                <w:szCs w:val="24"/>
              </w:rPr>
              <w:t>White to off-white powder or crystalline powder</w:t>
            </w:r>
          </w:p>
        </w:tc>
        <w:tc>
          <w:tcPr>
            <w:tcW w:w="2364"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sz w:val="24"/>
                <w:szCs w:val="24"/>
              </w:rPr>
            </w:pPr>
            <w:r>
              <w:rPr>
                <w:sz w:val="24"/>
                <w:szCs w:val="24"/>
              </w:rPr>
              <w:t>Conforms</w:t>
            </w:r>
          </w:p>
        </w:tc>
      </w:tr>
      <w:tr>
        <w:trPr>
          <w:trHeight w:val="1902" w:hRule="atLeast"/>
        </w:trPr>
        <w:tc>
          <w:tcPr>
            <w:tcW w:w="2992" w:type="dxa"/>
            <w:tcBorders>
              <w:top w:val="single" w:sz="2" w:space="0" w:color="000000"/>
              <w:start w:val="single" w:sz="2" w:space="0" w:color="000000"/>
              <w:end w:val="single" w:sz="2" w:space="0" w:color="000000"/>
            </w:tcBorders>
            <w:vAlign w:val="center"/>
          </w:tcPr>
          <w:p>
            <w:pPr>
              <w:pStyle w:val="Normal"/>
              <w:spacing w:before="0" w:after="0"/>
              <w:rPr>
                <w:sz w:val="24"/>
                <w:szCs w:val="24"/>
              </w:rPr>
            </w:pPr>
            <w:r>
              <w:rPr>
                <w:sz w:val="24"/>
                <w:szCs w:val="24"/>
              </w:rPr>
              <w:t xml:space="preserve">Identification </w:t>
            </w:r>
          </w:p>
        </w:tc>
        <w:tc>
          <w:tcPr>
            <w:tcW w:w="4032" w:type="dxa"/>
            <w:vMerge w:val="restart"/>
            <w:tcBorders>
              <w:top w:val="single" w:sz="2" w:space="0" w:color="000000"/>
              <w:start w:val="single" w:sz="2" w:space="0" w:color="000000"/>
              <w:end w:val="single" w:sz="2" w:space="0" w:color="000000"/>
            </w:tcBorders>
            <w:vAlign w:val="center"/>
          </w:tcPr>
          <w:p>
            <w:pPr>
              <w:pStyle w:val="Normal"/>
              <w:spacing w:before="0" w:after="0"/>
              <w:rPr>
                <w:sz w:val="24"/>
                <w:szCs w:val="24"/>
              </w:rPr>
            </w:pPr>
            <w:r>
              <w:rPr>
                <w:sz w:val="24"/>
                <w:szCs w:val="24"/>
              </w:rPr>
              <w:t>In the Assay, the retention time of the principal peak in the chromatogram obtained with the test solution is identical with that of the principal peak in the chromatogram obtained, with the reference solution.</w:t>
            </w:r>
          </w:p>
        </w:tc>
        <w:tc>
          <w:tcPr>
            <w:tcW w:w="2364" w:type="dxa"/>
            <w:vMerge w:val="restart"/>
            <w:tcBorders>
              <w:top w:val="single" w:sz="2" w:space="0" w:color="000000"/>
              <w:start w:val="single" w:sz="2" w:space="0" w:color="000000"/>
              <w:end w:val="single" w:sz="2" w:space="0" w:color="000000"/>
            </w:tcBorders>
            <w:vAlign w:val="center"/>
          </w:tcPr>
          <w:p>
            <w:pPr>
              <w:pStyle w:val="Normal"/>
              <w:spacing w:before="0" w:after="0"/>
              <w:rPr>
                <w:sz w:val="24"/>
                <w:szCs w:val="24"/>
              </w:rPr>
            </w:pPr>
            <w:r>
              <w:rPr>
                <w:sz w:val="24"/>
                <w:szCs w:val="24"/>
              </w:rPr>
              <w:t>Conforms</w:t>
            </w:r>
          </w:p>
        </w:tc>
      </w:tr>
      <w:tr>
        <w:trPr>
          <w:trHeight w:val="240" w:hRule="atLeast"/>
        </w:trPr>
        <w:tc>
          <w:tcPr>
            <w:tcW w:w="2992" w:type="dxa"/>
            <w:tcBorders>
              <w:start w:val="single" w:sz="2" w:space="0" w:color="000000"/>
              <w:bottom w:val="single" w:sz="2" w:space="0" w:color="000000"/>
              <w:end w:val="single" w:sz="2" w:space="0" w:color="000000"/>
            </w:tcBorders>
            <w:vAlign w:val="center"/>
          </w:tcPr>
          <w:p>
            <w:pPr>
              <w:pStyle w:val="Normal"/>
              <w:snapToGrid w:val="false"/>
              <w:spacing w:before="0" w:after="0"/>
              <w:rPr>
                <w:sz w:val="24"/>
                <w:szCs w:val="24"/>
              </w:rPr>
            </w:pPr>
            <w:r>
              <w:rPr>
                <w:sz w:val="24"/>
                <w:szCs w:val="24"/>
              </w:rPr>
            </w:r>
          </w:p>
        </w:tc>
        <w:tc>
          <w:tcPr>
            <w:tcW w:w="4032" w:type="dxa"/>
            <w:vMerge w:val="continue"/>
            <w:tcBorders>
              <w:top w:val="single" w:sz="2" w:space="0" w:color="000000"/>
              <w:start w:val="single" w:sz="2" w:space="0" w:color="000000"/>
              <w:end w:val="single" w:sz="2" w:space="0" w:color="000000"/>
            </w:tcBorders>
            <w:vAlign w:val="center"/>
          </w:tcPr>
          <w:p>
            <w:pPr>
              <w:pStyle w:val="Normal"/>
              <w:snapToGrid w:val="false"/>
              <w:spacing w:before="0" w:after="0"/>
              <w:rPr>
                <w:sz w:val="24"/>
                <w:szCs w:val="24"/>
              </w:rPr>
            </w:pPr>
            <w:r>
              <w:rPr>
                <w:sz w:val="24"/>
                <w:szCs w:val="24"/>
              </w:rPr>
            </w:r>
          </w:p>
        </w:tc>
        <w:tc>
          <w:tcPr>
            <w:tcW w:w="2364" w:type="dxa"/>
            <w:vMerge w:val="continue"/>
            <w:tcBorders>
              <w:top w:val="single" w:sz="2" w:space="0" w:color="000000"/>
              <w:start w:val="single" w:sz="2" w:space="0" w:color="000000"/>
              <w:end w:val="single" w:sz="2" w:space="0" w:color="000000"/>
            </w:tcBorders>
            <w:vAlign w:val="center"/>
          </w:tcPr>
          <w:p>
            <w:pPr>
              <w:pStyle w:val="Normal"/>
              <w:snapToGrid w:val="false"/>
              <w:spacing w:before="0" w:after="0"/>
              <w:rPr>
                <w:sz w:val="24"/>
                <w:szCs w:val="24"/>
              </w:rPr>
            </w:pPr>
            <w:r>
              <w:rPr>
                <w:sz w:val="24"/>
                <w:szCs w:val="24"/>
              </w:rPr>
            </w:r>
          </w:p>
        </w:tc>
      </w:tr>
      <w:tr>
        <w:trPr>
          <w:trHeight w:val="240" w:hRule="atLeast"/>
        </w:trPr>
        <w:tc>
          <w:tcPr>
            <w:tcW w:w="2992" w:type="dxa"/>
            <w:tcBorders>
              <w:start w:val="single" w:sz="2" w:space="0" w:color="000000"/>
              <w:bottom w:val="single" w:sz="2" w:space="0" w:color="000000"/>
              <w:end w:val="single" w:sz="2" w:space="0" w:color="000000"/>
            </w:tcBorders>
            <w:vAlign w:val="center"/>
          </w:tcPr>
          <w:p>
            <w:pPr>
              <w:pStyle w:val="Normal"/>
              <w:spacing w:before="0" w:after="0"/>
              <w:rPr>
                <w:sz w:val="24"/>
                <w:szCs w:val="24"/>
              </w:rPr>
            </w:pPr>
            <w:r>
              <w:rPr>
                <w:sz w:val="24"/>
                <w:szCs w:val="24"/>
              </w:rPr>
              <w:t>Melting point</w:t>
            </w:r>
          </w:p>
        </w:tc>
        <w:tc>
          <w:tcPr>
            <w:tcW w:w="4032"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rFonts w:cs="Calibri"/>
                <w:sz w:val="24"/>
                <w:szCs w:val="24"/>
              </w:rPr>
            </w:pPr>
            <w:r>
              <w:rPr>
                <w:rFonts w:cs="Calibri"/>
                <w:sz w:val="24"/>
                <w:szCs w:val="24"/>
              </w:rPr>
              <w:t>148°C-155°C</w:t>
            </w:r>
          </w:p>
        </w:tc>
        <w:tc>
          <w:tcPr>
            <w:tcW w:w="2364" w:type="dxa"/>
            <w:tcBorders>
              <w:start w:val="single" w:sz="2" w:space="0" w:color="000000"/>
              <w:bottom w:val="single" w:sz="2" w:space="0" w:color="000000"/>
              <w:end w:val="single" w:sz="2" w:space="0" w:color="000000"/>
            </w:tcBorders>
            <w:vAlign w:val="center"/>
          </w:tcPr>
          <w:p>
            <w:pPr>
              <w:pStyle w:val="Normal"/>
              <w:spacing w:before="0" w:after="0"/>
              <w:rPr>
                <w:sz w:val="24"/>
                <w:szCs w:val="24"/>
              </w:rPr>
            </w:pPr>
            <w:r>
              <w:rPr>
                <w:sz w:val="24"/>
                <w:szCs w:val="24"/>
              </w:rPr>
              <w:t>151 .7°C-152.2°C</w:t>
            </w:r>
          </w:p>
        </w:tc>
      </w:tr>
      <w:tr>
        <w:trPr>
          <w:trHeight w:val="271" w:hRule="atLeast"/>
        </w:trPr>
        <w:tc>
          <w:tcPr>
            <w:tcW w:w="2992"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sz w:val="24"/>
                <w:szCs w:val="24"/>
              </w:rPr>
            </w:pPr>
            <w:r>
              <w:rPr>
                <w:sz w:val="24"/>
                <w:szCs w:val="24"/>
              </w:rPr>
              <w:t>Optical rotation</w:t>
            </w:r>
          </w:p>
        </w:tc>
        <w:tc>
          <w:tcPr>
            <w:tcW w:w="4032"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sz w:val="24"/>
                <w:szCs w:val="24"/>
              </w:rPr>
            </w:pPr>
            <w:r>
              <w:rPr>
                <w:rFonts w:cs="Calibri"/>
                <w:sz w:val="24"/>
                <w:szCs w:val="24"/>
              </w:rPr>
              <w:t>+15°~+21°</w:t>
            </w:r>
          </w:p>
        </w:tc>
        <w:tc>
          <w:tcPr>
            <w:tcW w:w="2364"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sz w:val="24"/>
                <w:szCs w:val="24"/>
              </w:rPr>
            </w:pPr>
            <w:r>
              <w:rPr>
                <w:sz w:val="24"/>
                <w:szCs w:val="24"/>
              </w:rPr>
              <w:t>+18.0</w:t>
            </w:r>
            <w:r>
              <w:rPr>
                <w:rFonts w:cs="Calibri"/>
                <w:sz w:val="24"/>
                <w:szCs w:val="24"/>
              </w:rPr>
              <w:t>°</w:t>
            </w:r>
          </w:p>
        </w:tc>
      </w:tr>
      <w:tr>
        <w:trPr>
          <w:trHeight w:val="271" w:hRule="atLeast"/>
        </w:trPr>
        <w:tc>
          <w:tcPr>
            <w:tcW w:w="2992"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sz w:val="24"/>
                <w:szCs w:val="24"/>
              </w:rPr>
            </w:pPr>
            <w:r>
              <w:rPr>
                <w:sz w:val="24"/>
                <w:szCs w:val="24"/>
              </w:rPr>
              <w:t>Heavy metals</w:t>
            </w:r>
          </w:p>
        </w:tc>
        <w:tc>
          <w:tcPr>
            <w:tcW w:w="4032"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rFonts w:cs="Calibri"/>
                <w:sz w:val="24"/>
                <w:szCs w:val="24"/>
              </w:rPr>
            </w:pPr>
            <w:r>
              <w:rPr>
                <w:rFonts w:cs="Calibri"/>
                <w:sz w:val="24"/>
                <w:szCs w:val="24"/>
                <w:u w:val="single"/>
              </w:rPr>
              <w:t>&lt;</w:t>
            </w:r>
            <w:r>
              <w:rPr>
                <w:rFonts w:cs="Calibri"/>
                <w:sz w:val="24"/>
                <w:szCs w:val="24"/>
              </w:rPr>
              <w:t>20ppm</w:t>
            </w:r>
          </w:p>
        </w:tc>
        <w:tc>
          <w:tcPr>
            <w:tcW w:w="2364"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sz w:val="24"/>
                <w:szCs w:val="24"/>
              </w:rPr>
            </w:pPr>
            <w:r>
              <w:rPr>
                <w:rFonts w:cs="Calibri"/>
                <w:sz w:val="24"/>
                <w:szCs w:val="24"/>
              </w:rPr>
              <w:t>&lt;20ppm</w:t>
            </w:r>
          </w:p>
        </w:tc>
      </w:tr>
      <w:tr>
        <w:trPr>
          <w:trHeight w:val="271" w:hRule="atLeast"/>
        </w:trPr>
        <w:tc>
          <w:tcPr>
            <w:tcW w:w="2992"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sz w:val="24"/>
                <w:szCs w:val="24"/>
              </w:rPr>
            </w:pPr>
            <w:r>
              <w:rPr>
                <w:sz w:val="24"/>
                <w:szCs w:val="24"/>
              </w:rPr>
              <w:t>Water</w:t>
            </w:r>
          </w:p>
        </w:tc>
        <w:tc>
          <w:tcPr>
            <w:tcW w:w="4032"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rFonts w:cs="Calibri"/>
                <w:sz w:val="24"/>
                <w:szCs w:val="24"/>
                <w:u w:val="single"/>
              </w:rPr>
            </w:pPr>
            <w:r>
              <w:rPr>
                <w:rFonts w:cs="Calibri"/>
                <w:sz w:val="24"/>
                <w:szCs w:val="24"/>
                <w:u w:val="single"/>
              </w:rPr>
              <w:t>&lt;</w:t>
            </w:r>
            <w:r>
              <w:rPr>
                <w:rFonts w:cs="Calibri"/>
                <w:sz w:val="24"/>
                <w:szCs w:val="24"/>
              </w:rPr>
              <w:t>0.5%</w:t>
            </w:r>
          </w:p>
        </w:tc>
        <w:tc>
          <w:tcPr>
            <w:tcW w:w="2364"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rFonts w:cs="Calibri"/>
                <w:sz w:val="24"/>
                <w:szCs w:val="24"/>
              </w:rPr>
            </w:pPr>
            <w:r>
              <w:rPr>
                <w:rFonts w:cs="Calibri"/>
                <w:sz w:val="24"/>
                <w:szCs w:val="24"/>
              </w:rPr>
              <w:t>0.06%</w:t>
            </w:r>
          </w:p>
        </w:tc>
      </w:tr>
      <w:tr>
        <w:trPr>
          <w:trHeight w:val="271" w:hRule="atLeast"/>
        </w:trPr>
        <w:tc>
          <w:tcPr>
            <w:tcW w:w="2992"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sz w:val="24"/>
                <w:szCs w:val="24"/>
              </w:rPr>
            </w:pPr>
            <w:r>
              <w:rPr>
                <w:sz w:val="24"/>
                <w:szCs w:val="24"/>
              </w:rPr>
              <w:t>Residue on ignition</w:t>
            </w:r>
          </w:p>
        </w:tc>
        <w:tc>
          <w:tcPr>
            <w:tcW w:w="4032"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rFonts w:cs="Calibri"/>
                <w:sz w:val="24"/>
                <w:szCs w:val="24"/>
                <w:u w:val="single"/>
              </w:rPr>
            </w:pPr>
            <w:r>
              <w:rPr>
                <w:rFonts w:cs="Calibri"/>
                <w:sz w:val="24"/>
                <w:szCs w:val="24"/>
                <w:u w:val="single"/>
              </w:rPr>
              <w:t>&lt;</w:t>
            </w:r>
            <w:r>
              <w:rPr>
                <w:rFonts w:cs="Calibri"/>
                <w:sz w:val="24"/>
                <w:szCs w:val="24"/>
              </w:rPr>
              <w:t>0.1%</w:t>
            </w:r>
          </w:p>
        </w:tc>
        <w:tc>
          <w:tcPr>
            <w:tcW w:w="2364"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rFonts w:cs="Calibri"/>
                <w:sz w:val="24"/>
                <w:szCs w:val="24"/>
              </w:rPr>
            </w:pPr>
            <w:r>
              <w:rPr>
                <w:rFonts w:cs="Calibri"/>
                <w:sz w:val="24"/>
                <w:szCs w:val="24"/>
              </w:rPr>
              <w:t>0.08%</w:t>
            </w:r>
          </w:p>
        </w:tc>
      </w:tr>
      <w:tr>
        <w:trPr>
          <w:trHeight w:val="271" w:hRule="atLeast"/>
        </w:trPr>
        <w:tc>
          <w:tcPr>
            <w:tcW w:w="2992"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sz w:val="24"/>
                <w:szCs w:val="24"/>
              </w:rPr>
            </w:pPr>
            <w:r>
              <w:rPr>
                <w:sz w:val="24"/>
                <w:szCs w:val="24"/>
              </w:rPr>
              <w:t>Isomers</w:t>
            </w:r>
          </w:p>
        </w:tc>
        <w:tc>
          <w:tcPr>
            <w:tcW w:w="4032"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rFonts w:cs="Calibri"/>
                <w:sz w:val="24"/>
                <w:szCs w:val="24"/>
                <w:u w:val="single"/>
              </w:rPr>
            </w:pPr>
            <w:r>
              <w:rPr>
                <w:rFonts w:cs="Calibri"/>
                <w:sz w:val="24"/>
                <w:szCs w:val="24"/>
                <w:u w:val="single"/>
              </w:rPr>
              <w:t>&lt;</w:t>
            </w:r>
            <w:r>
              <w:rPr>
                <w:rFonts w:cs="Calibri"/>
                <w:sz w:val="24"/>
                <w:szCs w:val="24"/>
              </w:rPr>
              <w:t>0.15%</w:t>
            </w:r>
          </w:p>
        </w:tc>
        <w:tc>
          <w:tcPr>
            <w:tcW w:w="2364"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rFonts w:cs="Calibri"/>
                <w:sz w:val="24"/>
                <w:szCs w:val="24"/>
              </w:rPr>
            </w:pPr>
            <w:r>
              <w:rPr>
                <w:rFonts w:cs="Calibri"/>
                <w:sz w:val="24"/>
                <w:szCs w:val="24"/>
              </w:rPr>
              <w:t>0.01%</w:t>
            </w:r>
          </w:p>
        </w:tc>
      </w:tr>
      <w:tr>
        <w:trPr>
          <w:trHeight w:val="296" w:hRule="atLeast"/>
        </w:trPr>
        <w:tc>
          <w:tcPr>
            <w:tcW w:w="2992" w:type="dxa"/>
            <w:vMerge w:val="restart"/>
            <w:tcBorders>
              <w:top w:val="single" w:sz="2" w:space="0" w:color="000000"/>
              <w:start w:val="single" w:sz="2" w:space="0" w:color="000000"/>
              <w:end w:val="single" w:sz="2" w:space="0" w:color="000000"/>
            </w:tcBorders>
            <w:vAlign w:val="center"/>
          </w:tcPr>
          <w:p>
            <w:pPr>
              <w:pStyle w:val="Normal"/>
              <w:spacing w:before="0" w:after="0"/>
              <w:rPr>
                <w:sz w:val="24"/>
                <w:szCs w:val="24"/>
              </w:rPr>
            </w:pPr>
            <w:r>
              <w:rPr>
                <w:sz w:val="24"/>
                <w:szCs w:val="24"/>
              </w:rPr>
              <w:t>Residual solvents</w:t>
            </w:r>
          </w:p>
        </w:tc>
        <w:tc>
          <w:tcPr>
            <w:tcW w:w="4032"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rFonts w:cs="Calibri"/>
                <w:sz w:val="24"/>
                <w:szCs w:val="24"/>
              </w:rPr>
            </w:pPr>
            <w:r>
              <w:rPr>
                <w:rFonts w:cs="Calibri"/>
                <w:sz w:val="24"/>
                <w:szCs w:val="24"/>
              </w:rPr>
              <w:t>Methanol</w:t>
            </w:r>
            <w:r>
              <w:rPr>
                <w:rFonts w:cs="Calibri"/>
                <w:sz w:val="24"/>
                <w:szCs w:val="24"/>
                <w:u w:val="single"/>
              </w:rPr>
              <w:t>&lt;</w:t>
            </w:r>
            <w:r>
              <w:rPr>
                <w:rFonts w:cs="Calibri"/>
                <w:sz w:val="24"/>
                <w:szCs w:val="24"/>
              </w:rPr>
              <w:t>0.3%</w:t>
            </w:r>
          </w:p>
        </w:tc>
        <w:tc>
          <w:tcPr>
            <w:tcW w:w="2364"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rFonts w:cs="Calibri"/>
                <w:sz w:val="24"/>
                <w:szCs w:val="24"/>
              </w:rPr>
            </w:pPr>
            <w:r>
              <w:rPr>
                <w:rFonts w:cs="Calibri"/>
                <w:sz w:val="24"/>
                <w:szCs w:val="24"/>
              </w:rPr>
              <w:t>Not detected</w:t>
            </w:r>
          </w:p>
        </w:tc>
      </w:tr>
      <w:tr>
        <w:trPr>
          <w:trHeight w:val="296" w:hRule="atLeast"/>
        </w:trPr>
        <w:tc>
          <w:tcPr>
            <w:tcW w:w="2992" w:type="dxa"/>
            <w:vMerge w:val="continue"/>
            <w:tcBorders>
              <w:top w:val="single" w:sz="2" w:space="0" w:color="000000"/>
              <w:start w:val="single" w:sz="2" w:space="0" w:color="000000"/>
              <w:end w:val="single" w:sz="2" w:space="0" w:color="000000"/>
            </w:tcBorders>
            <w:vAlign w:val="center"/>
          </w:tcPr>
          <w:p>
            <w:pPr>
              <w:pStyle w:val="Normal"/>
              <w:snapToGrid w:val="false"/>
              <w:spacing w:before="0" w:after="0"/>
              <w:rPr>
                <w:rFonts w:cs="Calibri"/>
                <w:sz w:val="24"/>
                <w:szCs w:val="24"/>
                <w:u w:val="single"/>
              </w:rPr>
            </w:pPr>
            <w:r>
              <w:rPr>
                <w:rFonts w:cs="Calibri"/>
                <w:sz w:val="24"/>
                <w:szCs w:val="24"/>
                <w:u w:val="single"/>
              </w:rPr>
            </w:r>
          </w:p>
        </w:tc>
        <w:tc>
          <w:tcPr>
            <w:tcW w:w="4032"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rFonts w:cs="Calibri"/>
                <w:sz w:val="24"/>
                <w:szCs w:val="24"/>
              </w:rPr>
            </w:pPr>
            <w:r>
              <w:rPr>
                <w:rFonts w:cs="Calibri"/>
                <w:sz w:val="24"/>
                <w:szCs w:val="24"/>
              </w:rPr>
              <w:t>Ethanol</w:t>
            </w:r>
            <w:r>
              <w:rPr>
                <w:rFonts w:cs="Calibri"/>
                <w:sz w:val="24"/>
                <w:szCs w:val="24"/>
                <w:u w:val="single"/>
              </w:rPr>
              <w:t>&lt;</w:t>
            </w:r>
            <w:r>
              <w:rPr>
                <w:rFonts w:cs="Calibri"/>
                <w:sz w:val="24"/>
                <w:szCs w:val="24"/>
              </w:rPr>
              <w:t>0.5%</w:t>
            </w:r>
          </w:p>
        </w:tc>
        <w:tc>
          <w:tcPr>
            <w:tcW w:w="2364"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rFonts w:cs="Calibri"/>
                <w:sz w:val="24"/>
                <w:szCs w:val="24"/>
              </w:rPr>
            </w:pPr>
            <w:r>
              <w:rPr>
                <w:rFonts w:cs="Calibri"/>
                <w:sz w:val="24"/>
                <w:szCs w:val="24"/>
              </w:rPr>
              <w:t>Not detected</w:t>
            </w:r>
          </w:p>
        </w:tc>
      </w:tr>
      <w:tr>
        <w:trPr>
          <w:trHeight w:val="248" w:hRule="atLeast"/>
        </w:trPr>
        <w:tc>
          <w:tcPr>
            <w:tcW w:w="2992" w:type="dxa"/>
            <w:vMerge w:val="continue"/>
            <w:tcBorders>
              <w:top w:val="single" w:sz="2" w:space="0" w:color="000000"/>
              <w:start w:val="single" w:sz="2" w:space="0" w:color="000000"/>
              <w:end w:val="single" w:sz="2" w:space="0" w:color="000000"/>
            </w:tcBorders>
            <w:vAlign w:val="center"/>
          </w:tcPr>
          <w:p>
            <w:pPr>
              <w:pStyle w:val="Normal"/>
              <w:snapToGrid w:val="false"/>
              <w:spacing w:before="0" w:after="0"/>
              <w:rPr>
                <w:rFonts w:cs="Calibri"/>
                <w:sz w:val="24"/>
                <w:szCs w:val="24"/>
                <w:u w:val="single"/>
              </w:rPr>
            </w:pPr>
            <w:r>
              <w:rPr>
                <w:rFonts w:cs="Calibri"/>
                <w:sz w:val="24"/>
                <w:szCs w:val="24"/>
                <w:u w:val="single"/>
              </w:rPr>
            </w:r>
          </w:p>
        </w:tc>
        <w:tc>
          <w:tcPr>
            <w:tcW w:w="4032" w:type="dxa"/>
            <w:tcBorders>
              <w:top w:val="single" w:sz="2" w:space="0" w:color="000000"/>
              <w:start w:val="single" w:sz="2" w:space="0" w:color="000000"/>
              <w:end w:val="single" w:sz="2" w:space="0" w:color="000000"/>
            </w:tcBorders>
            <w:vAlign w:val="center"/>
          </w:tcPr>
          <w:p>
            <w:pPr>
              <w:pStyle w:val="Normal"/>
              <w:spacing w:before="0" w:after="0"/>
              <w:rPr>
                <w:rFonts w:cs="Calibri"/>
                <w:sz w:val="24"/>
                <w:szCs w:val="24"/>
              </w:rPr>
            </w:pPr>
            <w:r>
              <w:rPr>
                <w:rFonts w:cs="Calibri"/>
                <w:sz w:val="24"/>
                <w:szCs w:val="24"/>
              </w:rPr>
              <w:t>Ethyl acetate</w:t>
            </w:r>
            <w:r>
              <w:rPr>
                <w:rFonts w:cs="Calibri"/>
                <w:sz w:val="24"/>
                <w:szCs w:val="24"/>
                <w:u w:val="single"/>
              </w:rPr>
              <w:t>&lt;</w:t>
            </w:r>
            <w:r>
              <w:rPr>
                <w:rFonts w:cs="Calibri"/>
                <w:sz w:val="24"/>
                <w:szCs w:val="24"/>
              </w:rPr>
              <w:t>0.5%</w:t>
            </w:r>
          </w:p>
        </w:tc>
        <w:tc>
          <w:tcPr>
            <w:tcW w:w="2364" w:type="dxa"/>
            <w:tcBorders>
              <w:top w:val="single" w:sz="2" w:space="0" w:color="000000"/>
              <w:start w:val="single" w:sz="2" w:space="0" w:color="000000"/>
              <w:end w:val="single" w:sz="2" w:space="0" w:color="000000"/>
            </w:tcBorders>
            <w:vAlign w:val="center"/>
          </w:tcPr>
          <w:p>
            <w:pPr>
              <w:pStyle w:val="Normal"/>
              <w:spacing w:before="0" w:after="0"/>
              <w:rPr>
                <w:rFonts w:cs="Calibri"/>
                <w:sz w:val="24"/>
                <w:szCs w:val="24"/>
              </w:rPr>
            </w:pPr>
            <w:r>
              <w:rPr>
                <w:rFonts w:cs="Calibri"/>
                <w:sz w:val="24"/>
                <w:szCs w:val="24"/>
              </w:rPr>
              <w:t>0.10%</w:t>
            </w:r>
          </w:p>
        </w:tc>
      </w:tr>
      <w:tr>
        <w:trPr>
          <w:trHeight w:val="248" w:hRule="atLeast"/>
        </w:trPr>
        <w:tc>
          <w:tcPr>
            <w:tcW w:w="2992" w:type="dxa"/>
            <w:vMerge w:val="continue"/>
            <w:tcBorders>
              <w:top w:val="single" w:sz="2" w:space="0" w:color="000000"/>
              <w:start w:val="single" w:sz="2" w:space="0" w:color="000000"/>
              <w:end w:val="single" w:sz="2" w:space="0" w:color="000000"/>
            </w:tcBorders>
            <w:vAlign w:val="center"/>
          </w:tcPr>
          <w:p>
            <w:pPr>
              <w:pStyle w:val="Normal"/>
              <w:snapToGrid w:val="false"/>
              <w:spacing w:before="0" w:after="0"/>
              <w:rPr>
                <w:rFonts w:cs="Calibri"/>
                <w:sz w:val="24"/>
                <w:szCs w:val="24"/>
                <w:u w:val="single"/>
              </w:rPr>
            </w:pPr>
            <w:r>
              <w:rPr>
                <w:rFonts w:cs="Calibri"/>
                <w:sz w:val="24"/>
                <w:szCs w:val="24"/>
                <w:u w:val="single"/>
              </w:rPr>
            </w:r>
          </w:p>
        </w:tc>
        <w:tc>
          <w:tcPr>
            <w:tcW w:w="4032" w:type="dxa"/>
            <w:tcBorders>
              <w:top w:val="single" w:sz="2" w:space="0" w:color="000000"/>
              <w:start w:val="single" w:sz="2" w:space="0" w:color="000000"/>
              <w:end w:val="single" w:sz="2" w:space="0" w:color="000000"/>
            </w:tcBorders>
            <w:vAlign w:val="center"/>
          </w:tcPr>
          <w:p>
            <w:pPr>
              <w:pStyle w:val="Normal"/>
              <w:spacing w:before="0" w:after="0"/>
              <w:rPr>
                <w:rFonts w:cs="Calibri"/>
                <w:sz w:val="24"/>
                <w:szCs w:val="24"/>
              </w:rPr>
            </w:pPr>
            <w:r>
              <w:rPr>
                <w:rFonts w:cs="Calibri"/>
                <w:sz w:val="24"/>
                <w:szCs w:val="24"/>
              </w:rPr>
              <w:t>Dichloromethane</w:t>
            </w:r>
            <w:r>
              <w:rPr>
                <w:rFonts w:cs="Calibri"/>
                <w:sz w:val="24"/>
                <w:szCs w:val="24"/>
                <w:u w:val="single"/>
              </w:rPr>
              <w:t>&lt;</w:t>
            </w:r>
            <w:r>
              <w:rPr>
                <w:rFonts w:cs="Calibri"/>
                <w:sz w:val="24"/>
                <w:szCs w:val="24"/>
              </w:rPr>
              <w:t>0.06%</w:t>
            </w:r>
          </w:p>
        </w:tc>
        <w:tc>
          <w:tcPr>
            <w:tcW w:w="2364" w:type="dxa"/>
            <w:tcBorders>
              <w:top w:val="single" w:sz="2" w:space="0" w:color="000000"/>
              <w:start w:val="single" w:sz="2" w:space="0" w:color="000000"/>
              <w:end w:val="single" w:sz="2" w:space="0" w:color="000000"/>
            </w:tcBorders>
            <w:vAlign w:val="center"/>
          </w:tcPr>
          <w:p>
            <w:pPr>
              <w:pStyle w:val="Normal"/>
              <w:spacing w:before="0" w:after="0"/>
              <w:rPr>
                <w:rFonts w:cs="Calibri"/>
                <w:sz w:val="24"/>
                <w:szCs w:val="24"/>
              </w:rPr>
            </w:pPr>
            <w:r>
              <w:rPr>
                <w:rFonts w:cs="Calibri"/>
                <w:sz w:val="24"/>
                <w:szCs w:val="24"/>
              </w:rPr>
              <w:t>Not detected</w:t>
            </w:r>
          </w:p>
        </w:tc>
      </w:tr>
      <w:tr>
        <w:trPr>
          <w:trHeight w:val="248" w:hRule="atLeast"/>
        </w:trPr>
        <w:tc>
          <w:tcPr>
            <w:tcW w:w="2992" w:type="dxa"/>
            <w:vMerge w:val="continue"/>
            <w:tcBorders>
              <w:top w:val="single" w:sz="2" w:space="0" w:color="000000"/>
              <w:start w:val="single" w:sz="2" w:space="0" w:color="000000"/>
              <w:end w:val="single" w:sz="2" w:space="0" w:color="000000"/>
            </w:tcBorders>
            <w:vAlign w:val="center"/>
          </w:tcPr>
          <w:p>
            <w:pPr>
              <w:pStyle w:val="Normal"/>
              <w:snapToGrid w:val="false"/>
              <w:spacing w:before="0" w:after="0"/>
              <w:rPr>
                <w:rFonts w:cs="Calibri"/>
                <w:sz w:val="24"/>
                <w:szCs w:val="24"/>
                <w:u w:val="single"/>
              </w:rPr>
            </w:pPr>
            <w:r>
              <w:rPr>
                <w:rFonts w:cs="Calibri"/>
                <w:sz w:val="24"/>
                <w:szCs w:val="24"/>
                <w:u w:val="single"/>
              </w:rPr>
            </w:r>
          </w:p>
        </w:tc>
        <w:tc>
          <w:tcPr>
            <w:tcW w:w="4032" w:type="dxa"/>
            <w:tcBorders>
              <w:top w:val="single" w:sz="2" w:space="0" w:color="000000"/>
              <w:start w:val="single" w:sz="2" w:space="0" w:color="000000"/>
              <w:end w:val="single" w:sz="2" w:space="0" w:color="000000"/>
            </w:tcBorders>
            <w:vAlign w:val="center"/>
          </w:tcPr>
          <w:p>
            <w:pPr>
              <w:pStyle w:val="Normal"/>
              <w:spacing w:before="0" w:after="0"/>
              <w:rPr>
                <w:rFonts w:cs="Calibri"/>
                <w:sz w:val="24"/>
                <w:szCs w:val="24"/>
              </w:rPr>
            </w:pPr>
            <w:r>
              <w:rPr>
                <w:rFonts w:cs="Calibri"/>
                <w:sz w:val="24"/>
                <w:szCs w:val="24"/>
              </w:rPr>
              <w:t xml:space="preserve">N-hexane </w:t>
            </w:r>
            <w:r>
              <w:rPr>
                <w:rFonts w:cs="Calibri"/>
                <w:sz w:val="24"/>
                <w:szCs w:val="24"/>
                <w:u w:val="single"/>
              </w:rPr>
              <w:t>&lt;</w:t>
            </w:r>
            <w:r>
              <w:rPr>
                <w:rFonts w:cs="Calibri"/>
                <w:sz w:val="24"/>
                <w:szCs w:val="24"/>
              </w:rPr>
              <w:t>0.029%</w:t>
            </w:r>
          </w:p>
        </w:tc>
        <w:tc>
          <w:tcPr>
            <w:tcW w:w="2364" w:type="dxa"/>
            <w:tcBorders>
              <w:top w:val="single" w:sz="2" w:space="0" w:color="000000"/>
              <w:start w:val="single" w:sz="2" w:space="0" w:color="000000"/>
              <w:end w:val="single" w:sz="2" w:space="0" w:color="000000"/>
            </w:tcBorders>
            <w:vAlign w:val="center"/>
          </w:tcPr>
          <w:p>
            <w:pPr>
              <w:pStyle w:val="Normal"/>
              <w:spacing w:before="0" w:after="0"/>
              <w:rPr>
                <w:rFonts w:cs="Calibri"/>
                <w:sz w:val="24"/>
                <w:szCs w:val="24"/>
              </w:rPr>
            </w:pPr>
            <w:r>
              <w:rPr>
                <w:rFonts w:cs="Calibri"/>
                <w:sz w:val="24"/>
                <w:szCs w:val="24"/>
              </w:rPr>
              <w:t>Not detected</w:t>
            </w:r>
          </w:p>
        </w:tc>
      </w:tr>
      <w:tr>
        <w:trPr>
          <w:trHeight w:val="248" w:hRule="atLeast"/>
        </w:trPr>
        <w:tc>
          <w:tcPr>
            <w:tcW w:w="2992" w:type="dxa"/>
            <w:vMerge w:val="continue"/>
            <w:tcBorders>
              <w:top w:val="single" w:sz="2" w:space="0" w:color="000000"/>
              <w:start w:val="single" w:sz="2" w:space="0" w:color="000000"/>
              <w:end w:val="single" w:sz="2" w:space="0" w:color="000000"/>
            </w:tcBorders>
            <w:vAlign w:val="center"/>
          </w:tcPr>
          <w:p>
            <w:pPr>
              <w:pStyle w:val="Normal"/>
              <w:snapToGrid w:val="false"/>
              <w:spacing w:before="0" w:after="0"/>
              <w:rPr>
                <w:rFonts w:cs="Calibri"/>
                <w:sz w:val="24"/>
                <w:szCs w:val="24"/>
                <w:u w:val="single"/>
              </w:rPr>
            </w:pPr>
            <w:r>
              <w:rPr>
                <w:rFonts w:cs="Calibri"/>
                <w:sz w:val="24"/>
                <w:szCs w:val="24"/>
                <w:u w:val="single"/>
              </w:rPr>
            </w:r>
          </w:p>
        </w:tc>
        <w:tc>
          <w:tcPr>
            <w:tcW w:w="4032" w:type="dxa"/>
            <w:tcBorders>
              <w:top w:val="single" w:sz="2" w:space="0" w:color="000000"/>
              <w:start w:val="single" w:sz="2" w:space="0" w:color="000000"/>
              <w:end w:val="single" w:sz="2" w:space="0" w:color="000000"/>
            </w:tcBorders>
            <w:vAlign w:val="center"/>
          </w:tcPr>
          <w:p>
            <w:pPr>
              <w:pStyle w:val="Normal"/>
              <w:spacing w:before="0" w:after="0"/>
              <w:rPr>
                <w:rFonts w:cs="Calibri"/>
                <w:sz w:val="24"/>
                <w:szCs w:val="24"/>
              </w:rPr>
            </w:pPr>
            <w:r>
              <w:rPr>
                <w:rFonts w:cs="Calibri"/>
                <w:sz w:val="24"/>
                <w:szCs w:val="24"/>
              </w:rPr>
              <w:t>Acetonitrile</w:t>
            </w:r>
            <w:r>
              <w:rPr>
                <w:rFonts w:cs="Calibri"/>
                <w:sz w:val="24"/>
                <w:szCs w:val="24"/>
                <w:u w:val="single"/>
              </w:rPr>
              <w:t>&lt;</w:t>
            </w:r>
            <w:r>
              <w:rPr>
                <w:rFonts w:cs="Calibri"/>
                <w:sz w:val="24"/>
                <w:szCs w:val="24"/>
              </w:rPr>
              <w:t>0.041 %</w:t>
            </w:r>
          </w:p>
        </w:tc>
        <w:tc>
          <w:tcPr>
            <w:tcW w:w="2364" w:type="dxa"/>
            <w:tcBorders>
              <w:top w:val="single" w:sz="2" w:space="0" w:color="000000"/>
              <w:start w:val="single" w:sz="2" w:space="0" w:color="000000"/>
              <w:end w:val="single" w:sz="2" w:space="0" w:color="000000"/>
            </w:tcBorders>
            <w:vAlign w:val="center"/>
          </w:tcPr>
          <w:p>
            <w:pPr>
              <w:pStyle w:val="Normal"/>
              <w:spacing w:before="0" w:after="0"/>
              <w:rPr>
                <w:rFonts w:cs="Calibri"/>
                <w:sz w:val="24"/>
                <w:szCs w:val="24"/>
              </w:rPr>
            </w:pPr>
            <w:r>
              <w:rPr>
                <w:rFonts w:cs="Calibri"/>
                <w:sz w:val="24"/>
                <w:szCs w:val="24"/>
              </w:rPr>
              <w:t>Not detected</w:t>
            </w:r>
          </w:p>
        </w:tc>
      </w:tr>
      <w:tr>
        <w:trPr>
          <w:trHeight w:val="248" w:hRule="atLeast"/>
        </w:trPr>
        <w:tc>
          <w:tcPr>
            <w:tcW w:w="2992" w:type="dxa"/>
            <w:vMerge w:val="continue"/>
            <w:tcBorders>
              <w:top w:val="single" w:sz="2" w:space="0" w:color="000000"/>
              <w:start w:val="single" w:sz="2" w:space="0" w:color="000000"/>
              <w:end w:val="single" w:sz="2" w:space="0" w:color="000000"/>
            </w:tcBorders>
            <w:vAlign w:val="center"/>
          </w:tcPr>
          <w:p>
            <w:pPr>
              <w:pStyle w:val="Normal"/>
              <w:snapToGrid w:val="false"/>
              <w:spacing w:before="0" w:after="0"/>
              <w:rPr>
                <w:rFonts w:cs="Calibri"/>
                <w:sz w:val="24"/>
                <w:szCs w:val="24"/>
                <w:u w:val="single"/>
              </w:rPr>
            </w:pPr>
            <w:r>
              <w:rPr>
                <w:rFonts w:cs="Calibri"/>
                <w:sz w:val="24"/>
                <w:szCs w:val="24"/>
                <w:u w:val="single"/>
              </w:rPr>
            </w:r>
          </w:p>
        </w:tc>
        <w:tc>
          <w:tcPr>
            <w:tcW w:w="4032" w:type="dxa"/>
            <w:tcBorders>
              <w:top w:val="single" w:sz="2" w:space="0" w:color="000000"/>
              <w:start w:val="single" w:sz="2" w:space="0" w:color="000000"/>
              <w:end w:val="single" w:sz="2" w:space="0" w:color="000000"/>
            </w:tcBorders>
            <w:vAlign w:val="center"/>
          </w:tcPr>
          <w:p>
            <w:pPr>
              <w:pStyle w:val="Normal"/>
              <w:spacing w:before="0" w:after="0"/>
              <w:rPr>
                <w:rFonts w:cs="Calibri"/>
                <w:sz w:val="24"/>
                <w:szCs w:val="24"/>
              </w:rPr>
            </w:pPr>
            <w:r>
              <w:rPr>
                <w:rFonts w:cs="Calibri"/>
                <w:sz w:val="24"/>
                <w:szCs w:val="24"/>
              </w:rPr>
              <w:t>Tetrahydrofurans</w:t>
            </w:r>
            <w:r>
              <w:rPr>
                <w:rFonts w:cs="Calibri"/>
                <w:sz w:val="24"/>
                <w:szCs w:val="24"/>
                <w:u w:val="single"/>
              </w:rPr>
              <w:t>&lt;</w:t>
            </w:r>
            <w:r>
              <w:rPr>
                <w:rFonts w:cs="Calibri"/>
                <w:sz w:val="24"/>
                <w:szCs w:val="24"/>
              </w:rPr>
              <w:t>0.072%</w:t>
            </w:r>
          </w:p>
        </w:tc>
        <w:tc>
          <w:tcPr>
            <w:tcW w:w="2364" w:type="dxa"/>
            <w:tcBorders>
              <w:top w:val="single" w:sz="2" w:space="0" w:color="000000"/>
              <w:start w:val="single" w:sz="2" w:space="0" w:color="000000"/>
              <w:end w:val="single" w:sz="2" w:space="0" w:color="000000"/>
            </w:tcBorders>
            <w:vAlign w:val="center"/>
          </w:tcPr>
          <w:p>
            <w:pPr>
              <w:pStyle w:val="Normal"/>
              <w:spacing w:before="0" w:after="0"/>
              <w:rPr>
                <w:rFonts w:cs="Calibri"/>
                <w:sz w:val="24"/>
                <w:szCs w:val="24"/>
              </w:rPr>
            </w:pPr>
            <w:r>
              <w:rPr>
                <w:rFonts w:cs="Calibri"/>
                <w:sz w:val="24"/>
                <w:szCs w:val="24"/>
              </w:rPr>
              <w:t>Not detected</w:t>
            </w:r>
          </w:p>
        </w:tc>
      </w:tr>
      <w:tr>
        <w:trPr>
          <w:trHeight w:val="248" w:hRule="atLeast"/>
        </w:trPr>
        <w:tc>
          <w:tcPr>
            <w:tcW w:w="2992" w:type="dxa"/>
            <w:vMerge w:val="continue"/>
            <w:tcBorders>
              <w:top w:val="single" w:sz="2" w:space="0" w:color="000000"/>
              <w:start w:val="single" w:sz="2" w:space="0" w:color="000000"/>
              <w:end w:val="single" w:sz="2" w:space="0" w:color="000000"/>
            </w:tcBorders>
            <w:vAlign w:val="center"/>
          </w:tcPr>
          <w:p>
            <w:pPr>
              <w:pStyle w:val="Normal"/>
              <w:snapToGrid w:val="false"/>
              <w:spacing w:before="0" w:after="0"/>
              <w:rPr>
                <w:rFonts w:cs="Calibri"/>
                <w:sz w:val="24"/>
                <w:szCs w:val="24"/>
                <w:u w:val="single"/>
              </w:rPr>
            </w:pPr>
            <w:r>
              <w:rPr>
                <w:rFonts w:cs="Calibri"/>
                <w:sz w:val="24"/>
                <w:szCs w:val="24"/>
                <w:u w:val="single"/>
              </w:rPr>
            </w:r>
          </w:p>
        </w:tc>
        <w:tc>
          <w:tcPr>
            <w:tcW w:w="4032" w:type="dxa"/>
            <w:tcBorders>
              <w:top w:val="single" w:sz="2" w:space="0" w:color="000000"/>
              <w:start w:val="single" w:sz="2" w:space="0" w:color="000000"/>
              <w:end w:val="single" w:sz="2" w:space="0" w:color="000000"/>
            </w:tcBorders>
            <w:vAlign w:val="center"/>
          </w:tcPr>
          <w:p>
            <w:pPr>
              <w:pStyle w:val="Normal"/>
              <w:spacing w:before="0" w:after="0"/>
              <w:rPr>
                <w:rFonts w:cs="Calibri"/>
                <w:sz w:val="24"/>
                <w:szCs w:val="24"/>
              </w:rPr>
            </w:pPr>
            <w:r>
              <w:rPr>
                <w:rFonts w:cs="Calibri"/>
                <w:sz w:val="24"/>
                <w:szCs w:val="24"/>
              </w:rPr>
              <w:t>Toluene</w:t>
            </w:r>
            <w:r>
              <w:rPr>
                <w:rFonts w:cs="Calibri"/>
                <w:sz w:val="24"/>
                <w:szCs w:val="24"/>
                <w:u w:val="single"/>
              </w:rPr>
              <w:t>&lt;</w:t>
            </w:r>
            <w:r>
              <w:rPr>
                <w:rFonts w:cs="Calibri"/>
                <w:sz w:val="24"/>
                <w:szCs w:val="24"/>
              </w:rPr>
              <w:t>0.089%</w:t>
            </w:r>
          </w:p>
        </w:tc>
        <w:tc>
          <w:tcPr>
            <w:tcW w:w="2364" w:type="dxa"/>
            <w:tcBorders>
              <w:top w:val="single" w:sz="2" w:space="0" w:color="000000"/>
              <w:start w:val="single" w:sz="2" w:space="0" w:color="000000"/>
              <w:bottom w:val="single" w:sz="4" w:space="0" w:color="000000"/>
              <w:end w:val="single" w:sz="2" w:space="0" w:color="000000"/>
            </w:tcBorders>
            <w:vAlign w:val="center"/>
          </w:tcPr>
          <w:p>
            <w:pPr>
              <w:pStyle w:val="Normal"/>
              <w:spacing w:before="0" w:after="0"/>
              <w:rPr>
                <w:rFonts w:cs="Calibri"/>
                <w:sz w:val="24"/>
                <w:szCs w:val="24"/>
              </w:rPr>
            </w:pPr>
            <w:r>
              <w:rPr>
                <w:rFonts w:cs="Calibri"/>
                <w:sz w:val="24"/>
                <w:szCs w:val="24"/>
              </w:rPr>
              <w:t>Not detected</w:t>
            </w:r>
          </w:p>
        </w:tc>
      </w:tr>
      <w:tr>
        <w:trPr>
          <w:trHeight w:val="48" w:hRule="atLeast"/>
        </w:trPr>
        <w:tc>
          <w:tcPr>
            <w:tcW w:w="2992" w:type="dxa"/>
            <w:vMerge w:val="restart"/>
            <w:tcBorders>
              <w:top w:val="single" w:sz="2" w:space="0" w:color="000000"/>
              <w:start w:val="single" w:sz="2" w:space="0" w:color="000000"/>
              <w:end w:val="single" w:sz="2" w:space="0" w:color="000000"/>
            </w:tcBorders>
            <w:vAlign w:val="center"/>
          </w:tcPr>
          <w:p>
            <w:pPr>
              <w:pStyle w:val="Normal"/>
              <w:spacing w:before="0" w:after="0"/>
              <w:rPr>
                <w:sz w:val="24"/>
                <w:szCs w:val="24"/>
              </w:rPr>
            </w:pPr>
            <w:r>
              <w:rPr>
                <w:sz w:val="24"/>
                <w:szCs w:val="24"/>
              </w:rPr>
              <w:t>Related substances</w:t>
            </w:r>
          </w:p>
        </w:tc>
        <w:tc>
          <w:tcPr>
            <w:tcW w:w="4032" w:type="dxa"/>
            <w:tcBorders>
              <w:top w:val="single" w:sz="2" w:space="0" w:color="000000"/>
              <w:start w:val="single" w:sz="2" w:space="0" w:color="000000"/>
              <w:bottom w:val="single" w:sz="2" w:space="0" w:color="000000"/>
              <w:end w:val="single" w:sz="4" w:space="0" w:color="000000"/>
            </w:tcBorders>
            <w:vAlign w:val="center"/>
          </w:tcPr>
          <w:p>
            <w:pPr>
              <w:pStyle w:val="Normal"/>
              <w:spacing w:before="0" w:after="0"/>
              <w:rPr>
                <w:rFonts w:cs="Calibri"/>
                <w:sz w:val="24"/>
                <w:szCs w:val="24"/>
              </w:rPr>
            </w:pPr>
            <w:r>
              <w:rPr>
                <w:rFonts w:cs="Calibri"/>
                <w:sz w:val="24"/>
                <w:szCs w:val="24"/>
              </w:rPr>
              <w:t>Impurity B</w:t>
            </w:r>
            <w:r>
              <w:rPr>
                <w:rFonts w:cs="Calibri"/>
                <w:sz w:val="24"/>
                <w:szCs w:val="24"/>
                <w:u w:val="single"/>
              </w:rPr>
              <w:t>&lt;</w:t>
            </w:r>
            <w:r>
              <w:rPr>
                <w:rFonts w:cs="Calibri"/>
                <w:sz w:val="24"/>
                <w:szCs w:val="24"/>
              </w:rPr>
              <w:t>0.10%</w:t>
            </w:r>
          </w:p>
        </w:tc>
        <w:tc>
          <w:tcPr>
            <w:tcW w:w="236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0"/>
              <w:rPr>
                <w:rFonts w:cs="Calibri"/>
                <w:sz w:val="24"/>
                <w:szCs w:val="24"/>
              </w:rPr>
            </w:pPr>
            <w:r>
              <w:rPr>
                <w:rFonts w:cs="Calibri"/>
                <w:sz w:val="24"/>
                <w:szCs w:val="24"/>
              </w:rPr>
              <w:t>0.02%</w:t>
            </w:r>
          </w:p>
        </w:tc>
      </w:tr>
      <w:tr>
        <w:trPr>
          <w:trHeight w:val="44" w:hRule="atLeast"/>
        </w:trPr>
        <w:tc>
          <w:tcPr>
            <w:tcW w:w="2992" w:type="dxa"/>
            <w:vMerge w:val="continue"/>
            <w:tcBorders>
              <w:top w:val="single" w:sz="2" w:space="0" w:color="000000"/>
              <w:start w:val="single" w:sz="2" w:space="0" w:color="000000"/>
              <w:end w:val="single" w:sz="2" w:space="0" w:color="000000"/>
            </w:tcBorders>
            <w:vAlign w:val="center"/>
          </w:tcPr>
          <w:p>
            <w:pPr>
              <w:pStyle w:val="Normal"/>
              <w:snapToGrid w:val="false"/>
              <w:spacing w:before="0" w:after="0"/>
              <w:rPr>
                <w:rFonts w:cs="Calibri"/>
                <w:sz w:val="24"/>
                <w:szCs w:val="24"/>
                <w:u w:val="single"/>
              </w:rPr>
            </w:pPr>
            <w:r>
              <w:rPr>
                <w:rFonts w:cs="Calibri"/>
                <w:sz w:val="24"/>
                <w:szCs w:val="24"/>
                <w:u w:val="single"/>
              </w:rPr>
            </w:r>
          </w:p>
        </w:tc>
        <w:tc>
          <w:tcPr>
            <w:tcW w:w="4032" w:type="dxa"/>
            <w:tcBorders>
              <w:top w:val="single" w:sz="2" w:space="0" w:color="000000"/>
              <w:start w:val="single" w:sz="2" w:space="0" w:color="000000"/>
              <w:bottom w:val="single" w:sz="2" w:space="0" w:color="000000"/>
              <w:end w:val="single" w:sz="4" w:space="0" w:color="000000"/>
            </w:tcBorders>
            <w:vAlign w:val="center"/>
          </w:tcPr>
          <w:p>
            <w:pPr>
              <w:pStyle w:val="Normal"/>
              <w:spacing w:before="0" w:after="0"/>
              <w:rPr>
                <w:rFonts w:cs="Calibri"/>
                <w:sz w:val="24"/>
                <w:szCs w:val="24"/>
              </w:rPr>
            </w:pPr>
            <w:r>
              <w:rPr>
                <w:rFonts w:cs="Calibri"/>
                <w:sz w:val="24"/>
                <w:szCs w:val="24"/>
              </w:rPr>
              <w:t>Impurity C</w:t>
            </w:r>
            <w:r>
              <w:rPr>
                <w:rFonts w:cs="Calibri"/>
                <w:sz w:val="24"/>
                <w:szCs w:val="24"/>
                <w:u w:val="single"/>
              </w:rPr>
              <w:t>&lt;</w:t>
            </w:r>
            <w:r>
              <w:rPr>
                <w:rFonts w:cs="Calibri"/>
                <w:sz w:val="24"/>
                <w:szCs w:val="24"/>
              </w:rPr>
              <w:t>0.10%</w:t>
            </w:r>
          </w:p>
        </w:tc>
        <w:tc>
          <w:tcPr>
            <w:tcW w:w="236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0"/>
              <w:rPr>
                <w:rFonts w:cs="Calibri"/>
                <w:sz w:val="24"/>
                <w:szCs w:val="24"/>
              </w:rPr>
            </w:pPr>
            <w:r>
              <w:rPr>
                <w:rFonts w:cs="Calibri"/>
                <w:sz w:val="24"/>
                <w:szCs w:val="24"/>
              </w:rPr>
              <w:t>Not detected</w:t>
            </w:r>
          </w:p>
        </w:tc>
      </w:tr>
      <w:tr>
        <w:trPr>
          <w:trHeight w:val="44" w:hRule="atLeast"/>
        </w:trPr>
        <w:tc>
          <w:tcPr>
            <w:tcW w:w="2992" w:type="dxa"/>
            <w:vMerge w:val="continue"/>
            <w:tcBorders>
              <w:top w:val="single" w:sz="2" w:space="0" w:color="000000"/>
              <w:start w:val="single" w:sz="2" w:space="0" w:color="000000"/>
              <w:end w:val="single" w:sz="2" w:space="0" w:color="000000"/>
            </w:tcBorders>
            <w:vAlign w:val="center"/>
          </w:tcPr>
          <w:p>
            <w:pPr>
              <w:pStyle w:val="Normal"/>
              <w:snapToGrid w:val="false"/>
              <w:spacing w:before="0" w:after="0"/>
              <w:rPr>
                <w:rFonts w:cs="Calibri"/>
                <w:sz w:val="24"/>
                <w:szCs w:val="24"/>
                <w:u w:val="single"/>
              </w:rPr>
            </w:pPr>
            <w:r>
              <w:rPr>
                <w:rFonts w:cs="Calibri"/>
                <w:sz w:val="24"/>
                <w:szCs w:val="24"/>
                <w:u w:val="single"/>
              </w:rPr>
            </w:r>
          </w:p>
        </w:tc>
        <w:tc>
          <w:tcPr>
            <w:tcW w:w="4032" w:type="dxa"/>
            <w:tcBorders>
              <w:top w:val="single" w:sz="2" w:space="0" w:color="000000"/>
              <w:start w:val="single" w:sz="2" w:space="0" w:color="000000"/>
              <w:bottom w:val="single" w:sz="2" w:space="0" w:color="000000"/>
              <w:end w:val="single" w:sz="4" w:space="0" w:color="000000"/>
            </w:tcBorders>
            <w:vAlign w:val="center"/>
          </w:tcPr>
          <w:p>
            <w:pPr>
              <w:pStyle w:val="Normal"/>
              <w:spacing w:before="0" w:after="0"/>
              <w:rPr>
                <w:rFonts w:cs="Calibri"/>
                <w:sz w:val="24"/>
                <w:szCs w:val="24"/>
              </w:rPr>
            </w:pPr>
            <w:r>
              <w:rPr>
                <w:rFonts w:cs="Calibri"/>
                <w:sz w:val="24"/>
                <w:szCs w:val="24"/>
              </w:rPr>
              <w:t>Impurity D</w:t>
            </w:r>
            <w:r>
              <w:rPr>
                <w:rFonts w:cs="Calibri"/>
                <w:sz w:val="24"/>
                <w:szCs w:val="24"/>
                <w:u w:val="single"/>
              </w:rPr>
              <w:t>&lt;</w:t>
            </w:r>
            <w:r>
              <w:rPr>
                <w:rFonts w:cs="Calibri"/>
                <w:sz w:val="24"/>
                <w:szCs w:val="24"/>
              </w:rPr>
              <w:t>0.10%</w:t>
            </w:r>
          </w:p>
        </w:tc>
        <w:tc>
          <w:tcPr>
            <w:tcW w:w="236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0"/>
              <w:rPr>
                <w:rFonts w:cs="Calibri"/>
                <w:sz w:val="24"/>
                <w:szCs w:val="24"/>
              </w:rPr>
            </w:pPr>
            <w:r>
              <w:rPr>
                <w:rFonts w:cs="Calibri"/>
                <w:sz w:val="24"/>
                <w:szCs w:val="24"/>
              </w:rPr>
              <w:t>Not detected</w:t>
            </w:r>
          </w:p>
        </w:tc>
      </w:tr>
      <w:tr>
        <w:trPr>
          <w:trHeight w:val="44" w:hRule="atLeast"/>
        </w:trPr>
        <w:tc>
          <w:tcPr>
            <w:tcW w:w="2992" w:type="dxa"/>
            <w:vMerge w:val="continue"/>
            <w:tcBorders>
              <w:top w:val="single" w:sz="2" w:space="0" w:color="000000"/>
              <w:start w:val="single" w:sz="2" w:space="0" w:color="000000"/>
              <w:end w:val="single" w:sz="2" w:space="0" w:color="000000"/>
            </w:tcBorders>
            <w:vAlign w:val="center"/>
          </w:tcPr>
          <w:p>
            <w:pPr>
              <w:pStyle w:val="Normal"/>
              <w:snapToGrid w:val="false"/>
              <w:spacing w:before="0" w:after="0"/>
              <w:rPr>
                <w:rFonts w:cs="Calibri"/>
                <w:sz w:val="24"/>
                <w:szCs w:val="24"/>
                <w:u w:val="single"/>
              </w:rPr>
            </w:pPr>
            <w:r>
              <w:rPr>
                <w:rFonts w:cs="Calibri"/>
                <w:sz w:val="24"/>
                <w:szCs w:val="24"/>
                <w:u w:val="single"/>
              </w:rPr>
            </w:r>
          </w:p>
        </w:tc>
        <w:tc>
          <w:tcPr>
            <w:tcW w:w="4032" w:type="dxa"/>
            <w:tcBorders>
              <w:top w:val="single" w:sz="2" w:space="0" w:color="000000"/>
              <w:start w:val="single" w:sz="2" w:space="0" w:color="000000"/>
              <w:bottom w:val="single" w:sz="2" w:space="0" w:color="000000"/>
              <w:end w:val="single" w:sz="4" w:space="0" w:color="000000"/>
            </w:tcBorders>
            <w:vAlign w:val="center"/>
          </w:tcPr>
          <w:p>
            <w:pPr>
              <w:pStyle w:val="Normal"/>
              <w:spacing w:before="0" w:after="0"/>
              <w:rPr>
                <w:rFonts w:cs="Calibri"/>
                <w:sz w:val="24"/>
                <w:szCs w:val="24"/>
              </w:rPr>
            </w:pPr>
            <w:r>
              <w:rPr>
                <w:rFonts w:cs="Calibri"/>
                <w:sz w:val="24"/>
                <w:szCs w:val="24"/>
              </w:rPr>
              <w:t>Impurity E</w:t>
            </w:r>
            <w:r>
              <w:rPr>
                <w:rFonts w:cs="Calibri"/>
                <w:sz w:val="24"/>
                <w:szCs w:val="24"/>
                <w:u w:val="single"/>
              </w:rPr>
              <w:t>&lt;</w:t>
            </w:r>
            <w:r>
              <w:rPr>
                <w:rFonts w:cs="Calibri"/>
                <w:sz w:val="24"/>
                <w:szCs w:val="24"/>
              </w:rPr>
              <w:t>0.10%</w:t>
            </w:r>
          </w:p>
        </w:tc>
        <w:tc>
          <w:tcPr>
            <w:tcW w:w="236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0"/>
              <w:rPr>
                <w:rFonts w:cs="Calibri"/>
                <w:sz w:val="24"/>
                <w:szCs w:val="24"/>
              </w:rPr>
            </w:pPr>
            <w:r>
              <w:rPr>
                <w:rFonts w:cs="Calibri"/>
                <w:sz w:val="24"/>
                <w:szCs w:val="24"/>
              </w:rPr>
              <w:t>Not detected</w:t>
            </w:r>
          </w:p>
        </w:tc>
      </w:tr>
      <w:tr>
        <w:trPr>
          <w:trHeight w:val="44" w:hRule="atLeast"/>
        </w:trPr>
        <w:tc>
          <w:tcPr>
            <w:tcW w:w="2992" w:type="dxa"/>
            <w:vMerge w:val="continue"/>
            <w:tcBorders>
              <w:top w:val="single" w:sz="2" w:space="0" w:color="000000"/>
              <w:start w:val="single" w:sz="2" w:space="0" w:color="000000"/>
              <w:end w:val="single" w:sz="2" w:space="0" w:color="000000"/>
            </w:tcBorders>
            <w:vAlign w:val="center"/>
          </w:tcPr>
          <w:p>
            <w:pPr>
              <w:pStyle w:val="Normal"/>
              <w:snapToGrid w:val="false"/>
              <w:spacing w:before="0" w:after="0"/>
              <w:rPr>
                <w:rFonts w:cs="Calibri"/>
                <w:sz w:val="24"/>
                <w:szCs w:val="24"/>
                <w:u w:val="single"/>
              </w:rPr>
            </w:pPr>
            <w:r>
              <w:rPr>
                <w:rFonts w:cs="Calibri"/>
                <w:sz w:val="24"/>
                <w:szCs w:val="24"/>
                <w:u w:val="single"/>
              </w:rPr>
            </w:r>
          </w:p>
        </w:tc>
        <w:tc>
          <w:tcPr>
            <w:tcW w:w="4032" w:type="dxa"/>
            <w:tcBorders>
              <w:top w:val="single" w:sz="2" w:space="0" w:color="000000"/>
              <w:start w:val="single" w:sz="2" w:space="0" w:color="000000"/>
              <w:bottom w:val="single" w:sz="2" w:space="0" w:color="000000"/>
              <w:end w:val="single" w:sz="4" w:space="0" w:color="000000"/>
            </w:tcBorders>
            <w:vAlign w:val="center"/>
          </w:tcPr>
          <w:p>
            <w:pPr>
              <w:pStyle w:val="Normal"/>
              <w:spacing w:before="0" w:after="0"/>
              <w:rPr>
                <w:rFonts w:cs="Calibri"/>
                <w:sz w:val="24"/>
                <w:szCs w:val="24"/>
              </w:rPr>
            </w:pPr>
            <w:r>
              <w:rPr>
                <w:rFonts w:cs="Calibri"/>
                <w:sz w:val="24"/>
                <w:szCs w:val="24"/>
              </w:rPr>
              <w:t>Impurity G</w:t>
            </w:r>
            <w:r>
              <w:rPr>
                <w:rFonts w:cs="Calibri"/>
                <w:sz w:val="24"/>
                <w:szCs w:val="24"/>
                <w:u w:val="single"/>
              </w:rPr>
              <w:t>&lt;</w:t>
            </w:r>
            <w:r>
              <w:rPr>
                <w:rFonts w:cs="Calibri"/>
                <w:sz w:val="24"/>
                <w:szCs w:val="24"/>
              </w:rPr>
              <w:t>0.10%</w:t>
            </w:r>
          </w:p>
        </w:tc>
        <w:tc>
          <w:tcPr>
            <w:tcW w:w="236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0"/>
              <w:rPr>
                <w:rFonts w:cs="Calibri"/>
                <w:sz w:val="24"/>
                <w:szCs w:val="24"/>
              </w:rPr>
            </w:pPr>
            <w:r>
              <w:rPr>
                <w:rFonts w:cs="Calibri"/>
                <w:sz w:val="24"/>
                <w:szCs w:val="24"/>
              </w:rPr>
              <w:t>Not detected</w:t>
            </w:r>
          </w:p>
        </w:tc>
      </w:tr>
      <w:tr>
        <w:trPr>
          <w:trHeight w:val="44" w:hRule="atLeast"/>
        </w:trPr>
        <w:tc>
          <w:tcPr>
            <w:tcW w:w="2992" w:type="dxa"/>
            <w:vMerge w:val="continue"/>
            <w:tcBorders>
              <w:top w:val="single" w:sz="2" w:space="0" w:color="000000"/>
              <w:start w:val="single" w:sz="2" w:space="0" w:color="000000"/>
              <w:end w:val="single" w:sz="2" w:space="0" w:color="000000"/>
            </w:tcBorders>
            <w:vAlign w:val="center"/>
          </w:tcPr>
          <w:p>
            <w:pPr>
              <w:pStyle w:val="Normal"/>
              <w:snapToGrid w:val="false"/>
              <w:spacing w:before="0" w:after="0"/>
              <w:rPr>
                <w:rFonts w:cs="Calibri"/>
                <w:sz w:val="24"/>
                <w:szCs w:val="24"/>
                <w:u w:val="single"/>
              </w:rPr>
            </w:pPr>
            <w:r>
              <w:rPr>
                <w:rFonts w:cs="Calibri"/>
                <w:sz w:val="24"/>
                <w:szCs w:val="24"/>
                <w:u w:val="single"/>
              </w:rPr>
            </w:r>
          </w:p>
        </w:tc>
        <w:tc>
          <w:tcPr>
            <w:tcW w:w="4032" w:type="dxa"/>
            <w:tcBorders>
              <w:top w:val="single" w:sz="2" w:space="0" w:color="000000"/>
              <w:start w:val="single" w:sz="2" w:space="0" w:color="000000"/>
              <w:bottom w:val="single" w:sz="2" w:space="0" w:color="000000"/>
              <w:end w:val="single" w:sz="4" w:space="0" w:color="000000"/>
            </w:tcBorders>
            <w:vAlign w:val="center"/>
          </w:tcPr>
          <w:p>
            <w:pPr>
              <w:pStyle w:val="Normal"/>
              <w:spacing w:before="0" w:after="0"/>
              <w:rPr>
                <w:rFonts w:cs="Calibri"/>
                <w:sz w:val="24"/>
                <w:szCs w:val="24"/>
              </w:rPr>
            </w:pPr>
            <w:r>
              <w:drawing>
                <wp:anchor distT="0" distB="0" distL="114935" distR="114935" simplePos="0" relativeHeight="3" behindDoc="1" locked="0" layoutInCell="1" allowOverlap="1">
                  <wp:simplePos x="0" y="0"/>
                  <wp:positionH relativeFrom="column">
                    <wp:posOffset>873125</wp:posOffset>
                  </wp:positionH>
                  <wp:positionV relativeFrom="paragraph">
                    <wp:posOffset>62865</wp:posOffset>
                  </wp:positionV>
                  <wp:extent cx="1493520" cy="1546860"/>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0" t="-10" r="-10" b="-10"/>
                          <a:stretch>
                            <a:fillRect/>
                          </a:stretch>
                        </pic:blipFill>
                        <pic:spPr bwMode="auto">
                          <a:xfrm>
                            <a:off x="0" y="0"/>
                            <a:ext cx="1493520" cy="1546860"/>
                          </a:xfrm>
                          <a:prstGeom prst="rect">
                            <a:avLst/>
                          </a:prstGeom>
                          <a:noFill/>
                        </pic:spPr>
                      </pic:pic>
                    </a:graphicData>
                  </a:graphic>
                </wp:anchor>
              </w:drawing>
            </w:r>
            <w:r>
              <w:rPr>
                <w:rFonts w:cs="Calibri"/>
                <w:sz w:val="24"/>
                <w:szCs w:val="24"/>
              </w:rPr>
              <w:t>Single impurity</w:t>
            </w:r>
            <w:r>
              <w:rPr>
                <w:rFonts w:cs="Calibri"/>
                <w:sz w:val="24"/>
                <w:szCs w:val="24"/>
                <w:u w:val="single"/>
              </w:rPr>
              <w:t>&lt;</w:t>
            </w:r>
            <w:r>
              <w:rPr>
                <w:rFonts w:cs="Calibri"/>
                <w:sz w:val="24"/>
                <w:szCs w:val="24"/>
              </w:rPr>
              <w:t>0.10%</w:t>
            </w:r>
          </w:p>
        </w:tc>
        <w:tc>
          <w:tcPr>
            <w:tcW w:w="236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0"/>
              <w:rPr>
                <w:rFonts w:cs="Calibri"/>
                <w:sz w:val="24"/>
                <w:szCs w:val="24"/>
              </w:rPr>
            </w:pPr>
            <w:r>
              <w:rPr>
                <w:rFonts w:cs="Calibri"/>
                <w:sz w:val="24"/>
                <w:szCs w:val="24"/>
              </w:rPr>
              <w:t>0.03%</w:t>
            </w:r>
          </w:p>
        </w:tc>
      </w:tr>
      <w:tr>
        <w:trPr>
          <w:trHeight w:val="44" w:hRule="atLeast"/>
        </w:trPr>
        <w:tc>
          <w:tcPr>
            <w:tcW w:w="2992" w:type="dxa"/>
            <w:vMerge w:val="continue"/>
            <w:tcBorders>
              <w:top w:val="single" w:sz="2" w:space="0" w:color="000000"/>
              <w:start w:val="single" w:sz="2" w:space="0" w:color="000000"/>
              <w:end w:val="single" w:sz="2" w:space="0" w:color="000000"/>
            </w:tcBorders>
            <w:vAlign w:val="center"/>
          </w:tcPr>
          <w:p>
            <w:pPr>
              <w:pStyle w:val="Normal"/>
              <w:snapToGrid w:val="false"/>
              <w:spacing w:before="0" w:after="0"/>
              <w:rPr>
                <w:rFonts w:cs="Calibri"/>
                <w:sz w:val="24"/>
                <w:szCs w:val="24"/>
                <w:u w:val="single"/>
              </w:rPr>
            </w:pPr>
            <w:r>
              <w:rPr>
                <w:rFonts w:cs="Calibri"/>
                <w:sz w:val="24"/>
                <w:szCs w:val="24"/>
                <w:u w:val="single"/>
              </w:rPr>
            </w:r>
          </w:p>
        </w:tc>
        <w:tc>
          <w:tcPr>
            <w:tcW w:w="4032" w:type="dxa"/>
            <w:tcBorders>
              <w:top w:val="single" w:sz="2" w:space="0" w:color="000000"/>
              <w:start w:val="single" w:sz="2" w:space="0" w:color="000000"/>
              <w:bottom w:val="single" w:sz="2" w:space="0" w:color="000000"/>
              <w:end w:val="single" w:sz="4" w:space="0" w:color="000000"/>
            </w:tcBorders>
            <w:vAlign w:val="center"/>
          </w:tcPr>
          <w:p>
            <w:pPr>
              <w:pStyle w:val="Normal"/>
              <w:spacing w:before="0" w:after="0"/>
              <w:rPr>
                <w:rFonts w:cs="Calibri"/>
                <w:sz w:val="24"/>
                <w:szCs w:val="24"/>
              </w:rPr>
            </w:pPr>
            <w:r>
              <w:rPr>
                <w:rFonts w:cs="Calibri"/>
                <w:sz w:val="24"/>
                <w:szCs w:val="24"/>
              </w:rPr>
              <w:t>Total impurities</w:t>
            </w:r>
            <w:r>
              <w:rPr>
                <w:rFonts w:cs="Calibri"/>
                <w:sz w:val="24"/>
                <w:szCs w:val="24"/>
                <w:u w:val="single"/>
              </w:rPr>
              <w:t>&lt;</w:t>
            </w:r>
            <w:r>
              <w:rPr>
                <w:rFonts w:cs="Calibri"/>
                <w:sz w:val="24"/>
                <w:szCs w:val="24"/>
              </w:rPr>
              <w:t>1.0%</w:t>
            </w:r>
          </w:p>
        </w:tc>
        <w:tc>
          <w:tcPr>
            <w:tcW w:w="236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0"/>
              <w:rPr>
                <w:rFonts w:cs="Calibri"/>
                <w:sz w:val="24"/>
                <w:szCs w:val="24"/>
              </w:rPr>
            </w:pPr>
            <w:r>
              <w:rPr>
                <w:rFonts w:cs="Calibri"/>
                <w:sz w:val="24"/>
                <w:szCs w:val="24"/>
              </w:rPr>
              <w:t>0.11%</w:t>
            </w:r>
          </w:p>
        </w:tc>
      </w:tr>
      <w:tr>
        <w:trPr>
          <w:trHeight w:val="296" w:hRule="atLeast"/>
        </w:trPr>
        <w:tc>
          <w:tcPr>
            <w:tcW w:w="2992"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sz w:val="24"/>
                <w:szCs w:val="24"/>
              </w:rPr>
            </w:pPr>
            <w:r>
              <w:rPr>
                <w:sz w:val="24"/>
                <w:szCs w:val="24"/>
              </w:rPr>
              <w:t>Assay</w:t>
            </w:r>
          </w:p>
        </w:tc>
        <w:tc>
          <w:tcPr>
            <w:tcW w:w="4032" w:type="dxa"/>
            <w:tcBorders>
              <w:top w:val="single" w:sz="2" w:space="0" w:color="000000"/>
              <w:start w:val="single" w:sz="2" w:space="0" w:color="000000"/>
              <w:bottom w:val="single" w:sz="2" w:space="0" w:color="000000"/>
              <w:end w:val="single" w:sz="2" w:space="0" w:color="000000"/>
            </w:tcBorders>
            <w:vAlign w:val="center"/>
          </w:tcPr>
          <w:p>
            <w:pPr>
              <w:pStyle w:val="Normal"/>
              <w:spacing w:before="0" w:after="0"/>
              <w:rPr>
                <w:sz w:val="24"/>
                <w:szCs w:val="24"/>
              </w:rPr>
            </w:pPr>
            <w:r>
              <w:rPr>
                <w:sz w:val="24"/>
                <w:szCs w:val="24"/>
              </w:rPr>
              <w:t>98.0~102.0%</w:t>
            </w:r>
          </w:p>
        </w:tc>
        <w:tc>
          <w:tcPr>
            <w:tcW w:w="2364" w:type="dxa"/>
            <w:tcBorders>
              <w:top w:val="single" w:sz="4" w:space="0" w:color="000000"/>
              <w:start w:val="single" w:sz="2" w:space="0" w:color="000000"/>
              <w:bottom w:val="single" w:sz="2" w:space="0" w:color="000000"/>
              <w:end w:val="single" w:sz="2" w:space="0" w:color="000000"/>
            </w:tcBorders>
            <w:vAlign w:val="center"/>
          </w:tcPr>
          <w:p>
            <w:pPr>
              <w:pStyle w:val="Normal"/>
              <w:spacing w:before="0" w:after="0"/>
              <w:rPr>
                <w:sz w:val="24"/>
                <w:szCs w:val="24"/>
              </w:rPr>
            </w:pPr>
            <w:r>
              <w:rPr>
                <w:sz w:val="24"/>
                <w:szCs w:val="24"/>
              </w:rPr>
              <w:t>99.6%</w:t>
            </w:r>
          </w:p>
        </w:tc>
      </w:tr>
      <w:tr>
        <w:trPr>
          <w:trHeight w:val="216" w:hRule="atLeast"/>
        </w:trPr>
        <w:tc>
          <w:tcPr>
            <w:tcW w:w="9388" w:type="dxa"/>
            <w:gridSpan w:val="3"/>
            <w:tcBorders>
              <w:top w:val="single" w:sz="2" w:space="0" w:color="000000"/>
              <w:start w:val="single" w:sz="2" w:space="0" w:color="000000"/>
              <w:bottom w:val="single" w:sz="4" w:space="0" w:color="000000"/>
              <w:end w:val="single" w:sz="2" w:space="0" w:color="000000"/>
            </w:tcBorders>
            <w:vAlign w:val="center"/>
          </w:tcPr>
          <w:p>
            <w:pPr>
              <w:pStyle w:val="Normal"/>
              <w:spacing w:before="0" w:after="0"/>
              <w:rPr>
                <w:b/>
                <w:bCs/>
                <w:sz w:val="24"/>
                <w:szCs w:val="24"/>
              </w:rPr>
            </w:pPr>
            <w:r>
              <w:rPr>
                <w:b/>
                <w:bCs/>
                <w:sz w:val="24"/>
                <w:szCs w:val="24"/>
              </w:rPr>
              <w:t>CONCLUSION: THE PRODUCT CONFORMS TO IN-HOUSE SPECIFICATIONS</w:t>
            </w:r>
          </w:p>
        </w:tc>
      </w:tr>
    </w:tbl>
    <w:p>
      <w:pPr>
        <w:pStyle w:val="Normal"/>
        <w:tabs>
          <w:tab w:val="clear" w:pos="720"/>
          <w:tab w:val="left" w:pos="6560" w:leader="none"/>
        </w:tabs>
        <w:spacing w:before="0" w:after="0"/>
        <w:rPr>
          <w:lang w:val="en-US"/>
        </w:rPr>
      </w:pPr>
      <w:r>
        <w:rPr>
          <w:lang w:val="en-US"/>
        </w:rPr>
        <w:tab/>
      </w:r>
    </w:p>
    <w:sectPr>
      <w:headerReference w:type="default" r:id="rId3"/>
      <w:footerReference w:type="default" r:id="rId4"/>
      <w:type w:val="nextPage"/>
      <w:pgSz w:w="11906" w:h="16838"/>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Fonts w:ascii="Times New Roman" w:hAnsi="Times New Roman" w:eastAsia="SimSun;宋体" w:cs="Times New Roman"/>
        <w:b/>
        <w:bCs/>
        <w:szCs w:val="20"/>
      </w:rPr>
    </w:pPr>
    <w:r>
      <w:rPr>
        <w:rFonts w:eastAsia="SimSun;宋体" w:cs="Times New Roman" w:ascii="Times New Roman" w:hAnsi="Times New Roman"/>
        <w:b/>
        <w:bCs/>
        <w:szCs w:val="20"/>
      </w:rPr>
      <w:t>Plot No. 74 Fengcheng Yuan Tian Zhen, Wuxue City, Hubei Province, China</w:t>
    </w:r>
  </w:p>
  <w:p>
    <w:pPr>
      <w:pStyle w:val="Footer"/>
      <w:rPr>
        <w:rFonts w:ascii="Times New Roman" w:hAnsi="Times New Roman" w:eastAsia="SimSun;宋体" w:cs="Times New Roman"/>
        <w:b/>
        <w:bCs/>
        <w:szCs w:val="20"/>
      </w:rPr>
    </w:pPr>
    <w:r>
      <w:rPr>
        <w:rFonts w:eastAsia="SimSun;宋体" w:cs="Times New Roman" w:ascii="Times New Roman" w:hAnsi="Times New Roman"/>
        <w:b/>
        <w:bCs/>
        <w:szCs w:val="2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en-US" w:eastAsia="en-US"/>
      </w:rPr>
    </w:pPr>
    <w:r>
      <w:rPr>
        <w:lang w:val="en-US" w:eastAsia="en-US"/>
      </w:rPr>
      <w:drawing>
        <wp:anchor distT="0" distB="0" distL="114935" distR="114935" simplePos="0" relativeHeight="2" behindDoc="1" locked="0" layoutInCell="1" allowOverlap="1">
          <wp:simplePos x="0" y="0"/>
          <wp:positionH relativeFrom="column">
            <wp:posOffset>-711200</wp:posOffset>
          </wp:positionH>
          <wp:positionV relativeFrom="paragraph">
            <wp:posOffset>-542290</wp:posOffset>
          </wp:positionV>
          <wp:extent cx="7256145" cy="1006475"/>
          <wp:effectExtent l="0" t="0" r="0" b="0"/>
          <wp:wrapNone/>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rcRect l="-1" t="-8" r="-1" b="-8"/>
                  <a:stretch>
                    <a:fillRect/>
                  </a:stretch>
                </pic:blipFill>
                <pic:spPr bwMode="auto">
                  <a:xfrm>
                    <a:off x="0" y="0"/>
                    <a:ext cx="7256145" cy="1006475"/>
                  </a:xfrm>
                  <a:prstGeom prst="rect">
                    <a:avLst/>
                  </a:prstGeom>
                  <a:noFill/>
                </pic:spPr>
              </pic:pic>
            </a:graphicData>
          </a:graphic>
        </wp:anchor>
      </w:drawing>
    </w:r>
  </w:p>
</w:hdr>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57" w:before="0" w:after="160"/>
    </w:pPr>
    <w:rPr>
      <w:rFonts w:ascii="Calibri" w:hAnsi="Calibri" w:eastAsia="Calibri" w:cs="Arial"/>
      <w:color w:val="auto"/>
      <w:kern w:val="2"/>
      <w:sz w:val="22"/>
      <w:szCs w:val="22"/>
      <w:lang w:val="en-AE" w:bidi="ar-SA" w:eastAsia="zh-CN"/>
    </w:rPr>
  </w:style>
  <w:style w:type="character" w:styleId="WW8Num1z0">
    <w:name w:val="WW8Num1z0"/>
    <w:qFormat/>
    <w:rPr/>
  </w:style>
  <w:style w:type="character" w:styleId="WW8Num2z0">
    <w:name w:val="WW8Num2z0"/>
    <w:qFormat/>
    <w:rPr>
      <w:rFonts w:ascii="Calibri" w:hAnsi="Calibri" w:eastAsia="Calibri" w:cs="Calibri"/>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DefaultParagraphFont">
    <w:name w:val="Default Paragraph Font"/>
    <w:qFormat/>
    <w:rPr/>
  </w:style>
  <w:style w:type="character" w:styleId="HeaderChar">
    <w:name w:val="Header Char"/>
    <w:basedOn w:val="DefaultParagraphFont"/>
    <w:qFormat/>
    <w:rPr/>
  </w:style>
  <w:style w:type="character" w:styleId="FooterChar">
    <w:name w:val="Footer Char"/>
    <w:basedOn w:val="DefaultParagraphFont"/>
    <w:qFormat/>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513" w:leader="none"/>
        <w:tab w:val="right" w:pos="9026" w:leader="none"/>
      </w:tabs>
      <w:spacing w:lineRule="auto" w:line="240" w:before="0" w:after="0"/>
    </w:pPr>
    <w:rPr/>
  </w:style>
  <w:style w:type="paragraph" w:styleId="Footer">
    <w:name w:val="footer"/>
    <w:basedOn w:val="Normal"/>
    <w:pPr>
      <w:tabs>
        <w:tab w:val="clear" w:pos="720"/>
        <w:tab w:val="center" w:pos="4513" w:leader="none"/>
        <w:tab w:val="right" w:pos="9026"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47</TotalTime>
  <Application>LibreOffice/26.2.4.2$Linux_X86_64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2026-07-01T15:40:00Z</dcterms:created>
  <dc:creator>Pearl</dc:creator>
  <dc:description/>
  <cp:keywords/>
  <dc:language>en-US</dc:language>
  <cp:lastModifiedBy>Api3</cp:lastModifiedBy>
  <dcterms:modified xsi:type="dcterms:W3CDTF">2026-07-11T12:36:00Z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ies>
</file>