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6480" w:leader="none"/>
        </w:tabs>
        <w:spacing w:before="0" w:after="0"/>
        <w:jc w:val="center"/>
        <w:rPr>
          <w:rFonts w:ascii="Arial" w:hAnsi="Arial" w:cs="Arial"/>
          <w:b/>
          <w:bCs/>
          <w:sz w:val="26"/>
          <w:szCs w:val="26"/>
          <w:lang w:val="en-US"/>
        </w:rPr>
      </w:pPr>
      <w:r>
        <w:rPr>
          <w:rFonts w:cs="Arial" w:ascii="Arial" w:hAnsi="Arial"/>
          <w:b/>
          <w:bCs/>
          <w:sz w:val="26"/>
          <w:szCs w:val="26"/>
          <w:lang w:val="en-US"/>
        </w:rPr>
        <w:t>CERTIFICATE OF ANALYSIS</w:t>
      </w:r>
    </w:p>
    <w:p>
      <w:pPr>
        <w:pStyle w:val="Normal"/>
        <w:tabs>
          <w:tab w:val="clear" w:pos="720"/>
          <w:tab w:val="left" w:pos="6480" w:leader="none"/>
        </w:tabs>
        <w:spacing w:before="0" w:after="0"/>
        <w:jc w:val="center"/>
        <w:rPr>
          <w:rFonts w:ascii="Arial" w:hAnsi="Arial" w:cs="Arial"/>
          <w:b/>
          <w:bCs/>
          <w:sz w:val="26"/>
          <w:szCs w:val="26"/>
          <w:lang w:val="en-US"/>
        </w:rPr>
      </w:pPr>
      <w:r>
        <w:rPr>
          <w:rFonts w:cs="Arial" w:ascii="Arial" w:hAnsi="Arial"/>
          <w:b/>
          <w:bCs/>
          <w:sz w:val="26"/>
          <w:szCs w:val="26"/>
          <w:lang w:val="en-US"/>
        </w:rPr>
      </w:r>
    </w:p>
    <w:tbl>
      <w:tblPr>
        <w:tblW w:w="9403" w:type="dxa"/>
        <w:jc w:val="start"/>
        <w:tblInd w:w="93" w:type="dxa"/>
        <w:tblLayout w:type="fixed"/>
        <w:tblCellMar>
          <w:top w:w="0" w:type="dxa"/>
          <w:start w:w="108" w:type="dxa"/>
          <w:bottom w:w="0" w:type="dxa"/>
          <w:end w:w="108" w:type="dxa"/>
        </w:tblCellMar>
      </w:tblPr>
      <w:tblGrid>
        <w:gridCol w:w="2895"/>
        <w:gridCol w:w="2340"/>
        <w:gridCol w:w="1800"/>
        <w:gridCol w:w="2368"/>
      </w:tblGrid>
      <w:tr>
        <w:trPr>
          <w:trHeight w:val="75" w:hRule="atLeast"/>
        </w:trPr>
        <w:tc>
          <w:tcPr>
            <w:tcW w:w="2895"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 xml:space="preserve">Product Name:  </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b/>
                <w:bCs/>
                <w:sz w:val="24"/>
                <w:szCs w:val="24"/>
                <w:lang w:val="en-US"/>
              </w:rPr>
            </w:pPr>
            <w:r>
              <w:rPr>
                <w:b/>
                <w:bCs/>
                <w:sz w:val="24"/>
                <w:szCs w:val="24"/>
                <w:lang w:val="en-US"/>
              </w:rPr>
              <w:t>Empagliflozin</w:t>
            </w:r>
          </w:p>
        </w:tc>
        <w:tc>
          <w:tcPr>
            <w:tcW w:w="180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Test Date:</w:t>
            </w:r>
          </w:p>
        </w:tc>
        <w:tc>
          <w:tcPr>
            <w:tcW w:w="2368"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25.06.2026</w:t>
            </w:r>
          </w:p>
        </w:tc>
      </w:tr>
      <w:tr>
        <w:trPr>
          <w:trHeight w:val="75" w:hRule="atLeast"/>
        </w:trPr>
        <w:tc>
          <w:tcPr>
            <w:tcW w:w="2895"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 xml:space="preserve">Net weight: </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pPr>
            <w:r>
              <w:rPr>
                <w:sz w:val="24"/>
                <w:szCs w:val="24"/>
              </w:rPr>
              <w:t>50 kg</w:t>
            </w:r>
          </w:p>
        </w:tc>
        <w:tc>
          <w:tcPr>
            <w:tcW w:w="180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Batch</w:t>
            </w:r>
            <w:r>
              <w:rPr>
                <w:rFonts w:hint="eastAsia"/>
                <w:sz w:val="24"/>
                <w:szCs w:val="24"/>
              </w:rPr>
              <w:t xml:space="preserve"> </w:t>
            </w:r>
            <w:r>
              <w:rPr>
                <w:sz w:val="24"/>
                <w:szCs w:val="24"/>
              </w:rPr>
              <w:t>N</w:t>
            </w:r>
            <w:r>
              <w:rPr>
                <w:rFonts w:hint="eastAsia"/>
                <w:sz w:val="24"/>
                <w:szCs w:val="24"/>
              </w:rPr>
              <w:t xml:space="preserve">o: </w:t>
            </w:r>
          </w:p>
        </w:tc>
        <w:tc>
          <w:tcPr>
            <w:tcW w:w="2368"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C010026061901</w:t>
            </w:r>
          </w:p>
        </w:tc>
      </w:tr>
      <w:tr>
        <w:trPr>
          <w:trHeight w:val="75" w:hRule="atLeast"/>
        </w:trPr>
        <w:tc>
          <w:tcPr>
            <w:tcW w:w="2895"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Manufacture Date:</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19.06.2026</w:t>
            </w:r>
          </w:p>
        </w:tc>
        <w:tc>
          <w:tcPr>
            <w:tcW w:w="180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pPr>
            <w:r>
              <w:rPr>
                <w:sz w:val="24"/>
                <w:szCs w:val="24"/>
              </w:rPr>
              <w:t>Exp Date:</w:t>
            </w:r>
          </w:p>
        </w:tc>
        <w:tc>
          <w:tcPr>
            <w:tcW w:w="2368"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18.06.2028</w:t>
            </w:r>
          </w:p>
        </w:tc>
      </w:tr>
    </w:tbl>
    <w:p>
      <w:pPr>
        <w:pStyle w:val="Normal"/>
        <w:rPr/>
      </w:pPr>
      <w:r>
        <w:rPr/>
      </w:r>
    </w:p>
    <w:tbl>
      <w:tblPr>
        <w:tblW w:w="9388" w:type="dxa"/>
        <w:jc w:val="start"/>
        <w:tblInd w:w="93" w:type="dxa"/>
        <w:tblLayout w:type="fixed"/>
        <w:tblCellMar>
          <w:top w:w="0" w:type="dxa"/>
          <w:start w:w="108" w:type="dxa"/>
          <w:bottom w:w="0" w:type="dxa"/>
          <w:end w:w="108" w:type="dxa"/>
        </w:tblCellMar>
      </w:tblPr>
      <w:tblGrid>
        <w:gridCol w:w="2992"/>
        <w:gridCol w:w="4032"/>
        <w:gridCol w:w="2364"/>
      </w:tblGrid>
      <w:tr>
        <w:trPr>
          <w:trHeight w:val="75"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hint="eastAsia"/>
                <w:b/>
                <w:bCs/>
                <w:sz w:val="24"/>
                <w:szCs w:val="24"/>
              </w:rPr>
            </w:pPr>
            <w:r>
              <w:rPr>
                <w:rFonts w:hint="eastAsia"/>
                <w:b/>
                <w:bCs/>
                <w:sz w:val="24"/>
                <w:szCs w:val="24"/>
              </w:rPr>
              <w:t>Items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hint="eastAsia"/>
                <w:b/>
                <w:bCs/>
                <w:sz w:val="24"/>
                <w:szCs w:val="24"/>
              </w:rPr>
            </w:pPr>
            <w:r>
              <w:rPr>
                <w:b/>
                <w:bCs/>
                <w:sz w:val="24"/>
                <w:szCs w:val="24"/>
              </w:rPr>
              <w:t>SPECIFICATION</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b/>
                <w:bCs/>
                <w:sz w:val="24"/>
                <w:szCs w:val="24"/>
              </w:rPr>
            </w:pPr>
            <w:r>
              <w:rPr>
                <w:b/>
                <w:bCs/>
                <w:sz w:val="24"/>
                <w:szCs w:val="24"/>
              </w:rPr>
              <w:t>Result</w:t>
            </w:r>
          </w:p>
        </w:tc>
      </w:tr>
      <w:tr>
        <w:trPr>
          <w:trHeight w:val="647"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Appearance</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White to off-white powder or crystalline powder</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Meets the requirements</w:t>
            </w:r>
          </w:p>
        </w:tc>
      </w:tr>
      <w:tr>
        <w:trPr>
          <w:trHeight w:val="1902" w:hRule="atLeast"/>
        </w:trPr>
        <w:tc>
          <w:tcPr>
            <w:tcW w:w="2992" w:type="dxa"/>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 xml:space="preserve">Identification </w:t>
            </w:r>
          </w:p>
        </w:tc>
        <w:tc>
          <w:tcPr>
            <w:tcW w:w="4032"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In the Assay, the retention time of the principal peak in the chromatogram obtained with the test solution is identical with that of the principal peak in the chromatogram obtained, with the reference solution.</w:t>
            </w:r>
          </w:p>
        </w:tc>
        <w:tc>
          <w:tcPr>
            <w:tcW w:w="2364"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–12.2°</w:t>
            </w:r>
          </w:p>
        </w:tc>
      </w:tr>
      <w:tr>
        <w:trPr>
          <w:trHeight w:val="240" w:hRule="atLeast"/>
        </w:trPr>
        <w:tc>
          <w:tcPr>
            <w:tcW w:w="2992" w:type="dxa"/>
            <w:tcBorders>
              <w:start w:val="single" w:sz="2" w:space="0" w:color="000000"/>
              <w:bottom w:val="single" w:sz="2" w:space="0" w:color="000000"/>
              <w:end w:val="single" w:sz="2" w:space="0" w:color="000000"/>
            </w:tcBorders>
            <w:vAlign w:val="center"/>
          </w:tcPr>
          <w:p>
            <w:pPr>
              <w:pStyle w:val="Normal"/>
              <w:snapToGrid w:val="false"/>
              <w:spacing w:before="0" w:after="0"/>
              <w:rPr>
                <w:sz w:val="24"/>
                <w:szCs w:val="24"/>
              </w:rPr>
            </w:pPr>
            <w:r>
              <w:rPr>
                <w:sz w:val="24"/>
                <w:szCs w:val="24"/>
              </w:rPr>
            </w:r>
          </w:p>
        </w:tc>
        <w:tc>
          <w:tcPr>
            <w:tcW w:w="403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sz w:val="24"/>
                <w:szCs w:val="24"/>
              </w:rPr>
            </w:pPr>
            <w:r>
              <w:rPr>
                <w:sz w:val="24"/>
                <w:szCs w:val="24"/>
              </w:rPr>
            </w:r>
          </w:p>
        </w:tc>
        <w:tc>
          <w:tcPr>
            <w:tcW w:w="2364"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sz w:val="24"/>
                <w:szCs w:val="24"/>
              </w:rPr>
            </w:pPr>
            <w:r>
              <w:rPr>
                <w:sz w:val="24"/>
                <w:szCs w:val="24"/>
              </w:rPr>
            </w:r>
          </w:p>
        </w:tc>
      </w:tr>
      <w:tr>
        <w:trPr>
          <w:trHeight w:val="240" w:hRule="atLeast"/>
        </w:trPr>
        <w:tc>
          <w:tcPr>
            <w:tcW w:w="2992" w:type="dxa"/>
            <w:tcBorders>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Melting point</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148°C-155°C</w:t>
            </w:r>
          </w:p>
        </w:tc>
        <w:tc>
          <w:tcPr>
            <w:tcW w:w="2364" w:type="dxa"/>
            <w:tcBorders>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194~196℃</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Optical rotation</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rFonts w:cs="Calibri"/>
                <w:sz w:val="24"/>
                <w:szCs w:val="24"/>
              </w:rPr>
              <w:t>+15°~+21°</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+18.0</w:t>
            </w:r>
            <w:r>
              <w:rPr>
                <w:rFonts w:cs="Calibri"/>
                <w:sz w:val="24"/>
                <w:szCs w:val="24"/>
              </w:rPr>
              <w:t>°</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Heavy metals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u w:val="single"/>
              </w:rPr>
              <w:t>&lt;</w:t>
            </w:r>
            <w:r>
              <w:rPr>
                <w:rFonts w:cs="Calibri"/>
                <w:sz w:val="24"/>
                <w:szCs w:val="24"/>
              </w:rPr>
              <w:t>20ppm</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rFonts w:cs="Calibri"/>
                <w:sz w:val="24"/>
                <w:szCs w:val="24"/>
              </w:rPr>
              <w:t>0.43%</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Water</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u w:val="single"/>
              </w:rPr>
            </w:pPr>
            <w:r>
              <w:rPr>
                <w:rFonts w:cs="Calibri"/>
                <w:sz w:val="24"/>
                <w:szCs w:val="24"/>
                <w:u w:val="single"/>
              </w:rPr>
              <w:t>&lt;</w:t>
            </w:r>
            <w:r>
              <w:rPr>
                <w:rFonts w:cs="Calibri"/>
                <w:sz w:val="24"/>
                <w:szCs w:val="24"/>
              </w:rPr>
              <w:t>0.5%</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0.06%</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Residue on ignition</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u w:val="single"/>
              </w:rPr>
            </w:pPr>
            <w:r>
              <w:rPr>
                <w:rFonts w:cs="Calibri"/>
                <w:sz w:val="24"/>
                <w:szCs w:val="24"/>
                <w:u w:val="single"/>
              </w:rPr>
              <w:t>&lt;</w:t>
            </w:r>
            <w:r>
              <w:rPr>
                <w:rFonts w:cs="Calibri"/>
                <w:sz w:val="24"/>
                <w:szCs w:val="24"/>
              </w:rPr>
              <w:t>0.1%</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0.14%</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Isomers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u w:val="single"/>
              </w:rPr>
            </w:pPr>
            <w:r>
              <w:rPr>
                <w:rFonts w:cs="Calibri"/>
                <w:sz w:val="24"/>
                <w:szCs w:val="24"/>
                <w:u w:val="single"/>
              </w:rPr>
              <w:t>&lt;</w:t>
            </w:r>
            <w:r>
              <w:rPr>
                <w:rFonts w:cs="Calibri"/>
                <w:sz w:val="24"/>
                <w:szCs w:val="24"/>
              </w:rPr>
              <w:t>0.15%</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0.01%</w:t>
            </w:r>
          </w:p>
        </w:tc>
      </w:tr>
      <w:tr>
        <w:trPr>
          <w:trHeight w:val="296" w:hRule="atLeast"/>
        </w:trPr>
        <w:tc>
          <w:tcPr>
            <w:tcW w:w="2992"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Residual solvents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Methanol</w:t>
            </w:r>
            <w:r>
              <w:rPr>
                <w:rFonts w:cs="Calibri"/>
                <w:sz w:val="24"/>
                <w:szCs w:val="24"/>
                <w:u w:val="single"/>
              </w:rPr>
              <w:t>&lt;</w:t>
            </w:r>
            <w:r>
              <w:rPr>
                <w:rFonts w:cs="Calibri"/>
                <w:sz w:val="24"/>
                <w:szCs w:val="24"/>
              </w:rPr>
              <w:t>0.3%</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96"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Ethanol</w:t>
            </w:r>
            <w:r>
              <w:rPr>
                <w:rFonts w:cs="Calibri"/>
                <w:sz w:val="24"/>
                <w:szCs w:val="24"/>
                <w:u w:val="single"/>
              </w:rPr>
              <w:t>&lt;</w:t>
            </w:r>
            <w:r>
              <w:rPr>
                <w:rFonts w:cs="Calibri"/>
                <w:sz w:val="24"/>
                <w:szCs w:val="24"/>
              </w:rPr>
              <w:t>0.5%</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Ethyl acetate</w:t>
            </w:r>
            <w:r>
              <w:rPr>
                <w:rFonts w:cs="Calibri"/>
                <w:sz w:val="24"/>
                <w:szCs w:val="24"/>
                <w:u w:val="single"/>
              </w:rPr>
              <w:t>&lt;</w:t>
            </w:r>
            <w:r>
              <w:rPr>
                <w:rFonts w:cs="Calibri"/>
                <w:sz w:val="24"/>
                <w:szCs w:val="24"/>
              </w:rPr>
              <w:t>0.5%</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0.10%</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Dichloromethane</w:t>
            </w:r>
            <w:r>
              <w:rPr>
                <w:rFonts w:cs="Calibri"/>
                <w:sz w:val="24"/>
                <w:szCs w:val="24"/>
                <w:u w:val="single"/>
              </w:rPr>
              <w:t>&lt;</w:t>
            </w:r>
            <w:r>
              <w:rPr>
                <w:rFonts w:cs="Calibri"/>
                <w:sz w:val="24"/>
                <w:szCs w:val="24"/>
              </w:rPr>
              <w:t>0.06%</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 xml:space="preserve">N-hexane </w:t>
            </w:r>
            <w:r>
              <w:rPr>
                <w:rFonts w:cs="Calibri"/>
                <w:sz w:val="24"/>
                <w:szCs w:val="24"/>
                <w:u w:val="single"/>
              </w:rPr>
              <w:t>&lt;</w:t>
            </w:r>
            <w:r>
              <w:rPr>
                <w:rFonts w:cs="Calibri"/>
                <w:sz w:val="24"/>
                <w:szCs w:val="24"/>
              </w:rPr>
              <w:t>0.029%</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Acetonitrile</w:t>
            </w:r>
            <w:r>
              <w:rPr>
                <w:rFonts w:cs="Calibri"/>
                <w:sz w:val="24"/>
                <w:szCs w:val="24"/>
                <w:u w:val="single"/>
              </w:rPr>
              <w:t>&lt;</w:t>
            </w:r>
            <w:r>
              <w:rPr>
                <w:rFonts w:cs="Calibri"/>
                <w:sz w:val="24"/>
                <w:szCs w:val="24"/>
              </w:rPr>
              <w:t>0.041 %</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Tetrahydrofurans</w:t>
            </w:r>
            <w:r>
              <w:rPr>
                <w:rFonts w:cs="Calibri"/>
                <w:sz w:val="24"/>
                <w:szCs w:val="24"/>
                <w:u w:val="single"/>
              </w:rPr>
              <w:t>&lt;</w:t>
            </w:r>
            <w:r>
              <w:rPr>
                <w:rFonts w:cs="Calibri"/>
                <w:sz w:val="24"/>
                <w:szCs w:val="24"/>
              </w:rPr>
              <w:t>0.072%</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Toluene</w:t>
            </w:r>
            <w:r>
              <w:rPr>
                <w:rFonts w:cs="Calibri"/>
                <w:sz w:val="24"/>
                <w:szCs w:val="24"/>
                <w:u w:val="single"/>
              </w:rPr>
              <w:t>&lt;</w:t>
            </w:r>
            <w:r>
              <w:rPr>
                <w:rFonts w:cs="Calibri"/>
                <w:sz w:val="24"/>
                <w:szCs w:val="24"/>
              </w:rPr>
              <w:t>0.089%</w:t>
            </w:r>
          </w:p>
        </w:tc>
        <w:tc>
          <w:tcPr>
            <w:tcW w:w="2364" w:type="dxa"/>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8" w:hRule="atLeast"/>
        </w:trPr>
        <w:tc>
          <w:tcPr>
            <w:tcW w:w="2992"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Related substances</w:t>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B</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0.02%</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C</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D</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E</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G</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drawing>
                <wp:anchor distT="0" distB="0" distL="114935" distR="114935" simplePos="0" relativeHeight="3" behindDoc="1" locked="0" layoutInCell="1" allowOverlap="1">
                  <wp:simplePos x="0" y="0"/>
                  <wp:positionH relativeFrom="column">
                    <wp:posOffset>873125</wp:posOffset>
                  </wp:positionH>
                  <wp:positionV relativeFrom="paragraph">
                    <wp:posOffset>62865</wp:posOffset>
                  </wp:positionV>
                  <wp:extent cx="1493520" cy="154686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0" t="-10" r="-10" b="-10"/>
                          <a:stretch>
                            <a:fillRect/>
                          </a:stretch>
                        </pic:blipFill>
                        <pic:spPr bwMode="auto">
                          <a:xfrm>
                            <a:off x="0" y="0"/>
                            <a:ext cx="1493520" cy="1546860"/>
                          </a:xfrm>
                          <a:prstGeom prst="rect">
                            <a:avLst/>
                          </a:prstGeom>
                          <a:noFill/>
                        </pic:spPr>
                      </pic:pic>
                    </a:graphicData>
                  </a:graphic>
                </wp:anchor>
              </w:drawing>
            </w:r>
            <w:r>
              <w:rPr>
                <w:rFonts w:cs="Calibri"/>
                <w:sz w:val="24"/>
                <w:szCs w:val="24"/>
              </w:rPr>
              <w:t>Single impurity</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0.03%</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Total impurities</w:t>
            </w:r>
            <w:r>
              <w:rPr>
                <w:rFonts w:cs="Calibri"/>
                <w:sz w:val="24"/>
                <w:szCs w:val="24"/>
                <w:u w:val="single"/>
              </w:rPr>
              <w:t>&lt;</w:t>
            </w:r>
            <w:r>
              <w:rPr>
                <w:rFonts w:cs="Calibri"/>
                <w:sz w:val="24"/>
                <w:szCs w:val="24"/>
              </w:rPr>
              <w:t>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0.11%</w:t>
            </w:r>
          </w:p>
        </w:tc>
      </w:tr>
      <w:tr>
        <w:trPr>
          <w:trHeight w:val="296"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Assay (HPLC)</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98.0~102.0%</w:t>
            </w:r>
          </w:p>
        </w:tc>
        <w:tc>
          <w:tcPr>
            <w:tcW w:w="2364" w:type="dxa"/>
            <w:tcBorders>
              <w:top w:val="single" w:sz="4"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99.6%</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CONCLUSION: THE PRODUCT CONFORMS TO IN-HOUSE SPECIFICATIONS</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Ninhydrin reaction</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Infrared Absorption</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pH Value (5% Aqueous Solution)</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Content (%)</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Molecular Weight</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Solution light transmittance</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Chloride</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Sulfide</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Loss on Drying</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Assay (on the dried basis)</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Total number of aerobic bacteria</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Total number of molds and yeasts</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Single impurity</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No detect Living acarid (1g)</w:t>
            </w:r>
          </w:p>
        </w:tc>
      </w:tr>
    </w:tbl>
    <w:p>
      <w:pPr>
        <w:pStyle w:val="Normal"/>
        <w:tabs>
          <w:tab w:val="clear" w:pos="720"/>
          <w:tab w:val="left" w:pos="6560" w:leader="none"/>
        </w:tabs>
        <w:spacing w:before="0" w:after="0"/>
        <w:rPr>
          <w:lang w:val="en-US"/>
        </w:rPr>
      </w:pPr>
      <w:r>
        <w:rPr>
          <w:lang w:val="en-US"/>
        </w:rPr>
        <w:tab/>
      </w:r>
    </w:p>
    <w:sectPr>
      <w:headerReference w:type="default" r:id="rId3"/>
      <w:footerReference w:type="default" r:id="rId4"/>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eastAsia="SimSun;宋体" w:cs="Times New Roman"/>
        <w:b/>
        <w:bCs/>
        <w:szCs w:val="20"/>
      </w:rPr>
    </w:pPr>
    <w:r>
      <w:rPr>
        <w:rFonts w:eastAsia="SimSun;宋体" w:cs="Times New Roman" w:ascii="Times New Roman" w:hAnsi="Times New Roman"/>
        <w:b/>
        <w:bCs/>
        <w:szCs w:val="20"/>
      </w:rPr>
      <w:t>Plot No. 74 Fengcheng Yuan Tian Zhen, Wuxue City, Hubei Province, China</w:t>
    </w:r>
  </w:p>
  <w:p>
    <w:pPr>
      <w:pStyle w:val="Footer"/>
      <w:rPr>
        <w:rFonts w:ascii="Times New Roman" w:hAnsi="Times New Roman" w:eastAsia="SimSun;宋体" w:cs="Times New Roman"/>
        <w:b/>
        <w:bCs/>
        <w:szCs w:val="20"/>
      </w:rPr>
    </w:pPr>
    <w:r>
      <w:rPr>
        <w:rFonts w:eastAsia="SimSun;宋体" w:cs="Times New Roman" w:ascii="Times New Roman" w:hAnsi="Times New Roman"/>
        <w:b/>
        <w:bCs/>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en-US"/>
      </w:rPr>
    </w:pPr>
    <w:r>
      <w:rPr>
        <w:lang w:val="en-US" w:eastAsia="en-US"/>
      </w:rPr>
      <w:drawing>
        <wp:anchor distT="0" distB="0" distL="114935" distR="114935" simplePos="0" relativeHeight="2" behindDoc="1" locked="0" layoutInCell="1" allowOverlap="1">
          <wp:simplePos x="0" y="0"/>
          <wp:positionH relativeFrom="column">
            <wp:posOffset>-711200</wp:posOffset>
          </wp:positionH>
          <wp:positionV relativeFrom="paragraph">
            <wp:posOffset>-542290</wp:posOffset>
          </wp:positionV>
          <wp:extent cx="7256145" cy="1006475"/>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rcRect l="-1" t="-8" r="-1" b="-8"/>
                  <a:stretch>
                    <a:fillRect/>
                  </a:stretch>
                </pic:blipFill>
                <pic:spPr bwMode="auto">
                  <a:xfrm>
                    <a:off x="0" y="0"/>
                    <a:ext cx="7256145" cy="1006475"/>
                  </a:xfrm>
                  <a:prstGeom prst="rect">
                    <a:avLst/>
                  </a:prstGeom>
                  <a:noFill/>
                </pic:spPr>
              </pic:pic>
            </a:graphicData>
          </a:graphic>
        </wp:anchor>
      </w:drawing>
    </w:r>
  </w:p>
</w:hd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Arial"/>
      <w:color w:val="auto"/>
      <w:kern w:val="2"/>
      <w:sz w:val="22"/>
      <w:szCs w:val="22"/>
      <w:lang w:val="en-AE" w:bidi="ar-SA" w:eastAsia="zh-CN"/>
    </w:rPr>
  </w:style>
  <w:style w:type="character" w:styleId="WW8Num1z0">
    <w:name w:val="WW8Num1z0"/>
    <w:qFormat/>
    <w:rPr/>
  </w:style>
  <w:style w:type="character" w:styleId="WW8Num2z0">
    <w:name w:val="WW8Num2z0"/>
    <w:qFormat/>
    <w:rPr>
      <w:rFonts w:ascii="Calibri" w:hAnsi="Calibri" w:eastAsia="Calibri" w:cs="Calibri"/>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spacing w:lineRule="auto" w:line="240" w:before="0" w:after="0"/>
    </w:pPr>
    <w:rPr/>
  </w:style>
  <w:style w:type="paragraph" w:styleId="Footer">
    <w:name w:val="footer"/>
    <w:basedOn w:val="Normal"/>
    <w:pPr>
      <w:tabs>
        <w:tab w:val="clear" w:pos="720"/>
        <w:tab w:val="center" w:pos="4513" w:leader="none"/>
        <w:tab w:val="right" w:pos="9026"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2026-07-01T15:40:00Z</dcterms:created>
  <dc:creator>Pearl</dc:creator>
  <dc:description/>
  <cp:keywords/>
  <dc:language>en-US</dc:language>
  <cp:lastModifiedBy>Api3</cp:lastModifiedBy>
  <dcterms:modified xsi:type="dcterms:W3CDTF">2026-07-11T12:36:00Z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