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 xml:space="preserve">No:  Dated: </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IBN HAYYAN PHARMACEUTICALS</w:t>
      </w:r>
    </w:p>
    <w:p>
      <w:pPr>
        <w:pStyle w:val="Normal"/>
        <w:bidi w:val="0"/>
        <w:spacing w:lineRule="auto" w:line="240" w:before="0" w:after="0"/>
        <w:jc w:val="start"/>
        <w:rPr>
          <w:rFonts w:ascii="Arial" w:hAnsi="Arial" w:cs="Arial"/>
          <w:sz w:val="24"/>
          <w:szCs w:val="24"/>
        </w:rPr>
      </w:pPr>
      <w:r>
        <w:rPr>
          <w:rFonts w:cs="Arial" w:ascii="Arial" w:hAnsi="Arial"/>
          <w:sz w:val="24"/>
          <w:szCs w:val="24"/>
        </w:rPr>
        <w:t>TELL ESHORE, SOUTHERN HIGHWAY</w:t>
      </w:r>
    </w:p>
    <w:p>
      <w:pPr>
        <w:pStyle w:val="Normal"/>
        <w:bidi w:val="0"/>
        <w:spacing w:lineRule="auto" w:line="240" w:before="0" w:after="0"/>
        <w:jc w:val="start"/>
        <w:rPr>
          <w:rFonts w:ascii="Arial" w:hAnsi="Arial" w:cs="Arial"/>
          <w:sz w:val="24"/>
          <w:szCs w:val="24"/>
        </w:rPr>
      </w:pPr>
      <w:r>
        <w:rPr>
          <w:rFonts w:cs="Arial" w:ascii="Arial" w:hAnsi="Arial"/>
          <w:sz w:val="24"/>
          <w:szCs w:val="24"/>
        </w:rPr>
        <w:t>HOMS, SYRIA</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TICAGRELOR EP                       100 KGS                  USD 255/KGS                            USD 25,500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TCG/P2608042A             Mfg. Date: AUG.2026                 Exp. Date: JUL.2030</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25,500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TWENTY FIVE THOUSAND FIVE HUNDRED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KOPRAN RESEARCH LABORATORIES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