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Estetrol Monohydrate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Apr.21.2028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20260402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Apr.22.2026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off-white solid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solid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the chromatogram recorded under Assay, the retention time of the main peak in the test solution should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4.0%~7.0%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5.7%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Methanol: ≤ 3000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Ethyl acetate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0.5%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Dichloromethane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0.06%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Tetrahydrofurans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0.072%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ZP061-S010 (Isomer) ≤ 0.15%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drawing>
                <wp:anchor distT="0" distB="0" distL="114935" distR="114935" simplePos="0" relativeHeight="3" behindDoc="1" locked="0" layoutInCell="1" allowOverlap="1">
                  <wp:simplePos x="0" y="0"/>
                  <wp:positionH relativeFrom="column">
                    <wp:posOffset>873125</wp:posOffset>
                  </wp:positionH>
                  <wp:positionV relativeFrom="paragraph">
                    <wp:posOffset>62865</wp:posOffset>
                  </wp:positionV>
                  <wp:extent cx="1493520" cy="154686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0" r="-10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54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Calibri"/>
                <w:sz w:val="24"/>
                <w:szCs w:val="24"/>
              </w:rPr>
              <w:t>Single impurity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RRT2.23: 0.05%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Total impurities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1.0%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RRT2.79: 0.10%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98.0%~102.0% (on the anhydrous product)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IR spectrum of the test sample should match that of the reference standard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Ethanol: ≤ 5000 ppm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296 ppm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Acetone: ≤ 5000 ppm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Chlorobenzene: ≤ 360 ppm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Triethylamine: ≤ 5000 ppm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