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  <w:t>CERTIFICATE OF ANALYSIS</w:t>
      </w:r>
    </w:p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</w:r>
    </w:p>
    <w:tbl>
      <w:tblPr>
        <w:tblW w:w="940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5"/>
        <w:gridCol w:w="2340"/>
        <w:gridCol w:w="1800"/>
        <w:gridCol w:w="2368"/>
      </w:tblGrid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Estetrol Monohydrate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Apr.21.2028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50 kg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20260402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Apr.22.2026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18.06.2028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4032"/>
        <w:gridCol w:w="2364"/>
      </w:tblGrid>
      <w:tr>
        <w:trPr>
          <w:trHeight w:val="75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>
        <w:trPr>
          <w:trHeight w:val="647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or off-white solid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solid</w:t>
            </w:r>
          </w:p>
        </w:tc>
      </w:tr>
      <w:tr>
        <w:trPr>
          <w:trHeight w:val="1902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Identification </w:t>
            </w:r>
          </w:p>
        </w:tc>
        <w:tc>
          <w:tcPr>
            <w:tcW w:w="403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the chromatogram recorded under Assay, the retention time of the main peak in the test solution should</w:t>
            </w:r>
          </w:p>
        </w:tc>
        <w:tc>
          <w:tcPr>
            <w:tcW w:w="2364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Heavy metals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≤ 3000 ppm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4.0%~7.0%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5.7%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 5000 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 600 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 720 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48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ZP061-S010 (Isomer): ≤ 0.15%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0.01%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t>≤ 0.10%</w:t>
            </w:r>
            <w:r>
              <w:rPr>
                <w:rFonts w:cs="Calibri"/>
                <w:sz w:val="24"/>
                <w:szCs w:val="24"/>
              </w:rPr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RRT2.23: 0.05%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 1.0%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RRT2.79: 0.10%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Assay (HPLC)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98.0%~102.0% (on the anhydrous product)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100.4%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IR spectrum of the test sample should match that of the reference standard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Ethanol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 5000 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296 ppm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Acetone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 5000 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ND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Chlorobenzene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 360 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ND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Triethylamine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 5000 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ND</w:t>
            </w:r>
          </w:p>
        </w:tc>
      </w:tr>
      <w:tr>
        <w:trPr>
          <w:trHeight w:val="216" w:hRule="atLeast"/>
        </w:trPr>
        <w:tc>
          <w:tcPr>
            <w:tcW w:w="9388" w:type="dxa"/>
            <w:gridSpan w:val="3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CONCLUSION: THE PRODUCT CONFORMS TO IN-HOUSE SPECIFICATIONS</w:t>
            </w:r>
          </w:p>
        </w:tc>
      </w:tr>
    </w:tbl>
    <w:p>
      <w:pPr>
        <w:pStyle w:val="Normal"/>
        <w:tabs>
          <w:tab w:val="clear" w:pos="720"/>
          <w:tab w:val="left" w:pos="6560" w:leader="none"/>
        </w:tabs>
        <w:spacing w:before="0" w:after="0"/>
        <w:rPr>
          <w:lang w:val="en-US"/>
        </w:rPr>
      </w:pPr>
      <w:r>
        <w:rPr>
          <w:lang w:val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  <w:t>Plot No. 74 Fengcheng Yuan Tian Zhen, Wuxue City, Hubei Province, China</w:t>
    </w:r>
  </w:p>
  <w:p>
    <w:pPr>
      <w:pStyle w:val="Foo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-711200</wp:posOffset>
          </wp:positionH>
          <wp:positionV relativeFrom="paragraph">
            <wp:posOffset>-542290</wp:posOffset>
          </wp:positionV>
          <wp:extent cx="7256145" cy="1006475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8" r="-1" b="-8"/>
                  <a:stretch>
                    <a:fillRect/>
                  </a:stretch>
                </pic:blipFill>
                <pic:spPr bwMode="auto">
                  <a:xfrm>
                    <a:off x="0" y="0"/>
                    <a:ext cx="7256145" cy="1006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kern w:val="2"/>
      <w:sz w:val="22"/>
      <w:szCs w:val="22"/>
      <w:lang w:val="en-AE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alibri" w:hAnsi="Calibri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2026-07-01T15:40:00Z</dcterms:created>
  <dc:creator>Pearl</dc:creator>
  <dc:description/>
  <cp:keywords/>
  <dc:language>en-US</dc:language>
  <cp:lastModifiedBy>Api3</cp:lastModifiedBy>
  <dcterms:modified xsi:type="dcterms:W3CDTF">2026-07-11T12:36:00Z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