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Estetrol Monohydrate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Apr.21.2028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2Kg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20260402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Apr.22.2026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or off-white solid.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solid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the chromatogram recorded under Assay, the retention time of the main peak in the test solution should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Heavy metals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≤ 3000 ppm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4.0%~7.0%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5.7%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Isomers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≤ 0.15%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0.01%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5000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600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720 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ND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drawing>
                <wp:anchor distT="0" distB="0" distL="114935" distR="114935" simplePos="0" relativeHeight="3" behindDoc="1" locked="0" layoutInCell="1" allowOverlap="1">
                  <wp:simplePos x="0" y="0"/>
                  <wp:positionH relativeFrom="column">
                    <wp:posOffset>873125</wp:posOffset>
                  </wp:positionH>
                  <wp:positionV relativeFrom="paragraph">
                    <wp:posOffset>62865</wp:posOffset>
                  </wp:positionV>
                  <wp:extent cx="1493520" cy="154686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0" t="-10" r="-10" b="-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1546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Calibri"/>
                <w:sz w:val="24"/>
                <w:szCs w:val="24"/>
              </w:rPr>
              <w:t>≤ 0.10%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RRT2.23: 0.05%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≤ 1.0%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RRT2.79: 0.10%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98.0%~102.0% (on the anhydrous product)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100.4%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IR spectrum of the test sample should match that of the reference standard.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Ethanol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5000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296 ppm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Acetone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5000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Chlorobenzene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360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Triethylamine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 5000 ppm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ND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