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Vonoprazan Fumarate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2025-AUG-05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04</w:t>
            </w:r>
            <w:r w:rsidR="00A12D12"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 w:rsidR="00A12D12">
              <w:rPr>
                <w:sz w:val="24"/>
                <w:szCs w:val="24"/>
              </w:rPr>
              <w:t>/20</w:t>
            </w:r>
            <w:r w:rsidR="0040105E">
              <w:rPr>
                <w:sz w:val="24"/>
                <w:szCs w:val="24"/>
              </w:rPr>
              <w:t>30</w:t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off-white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Soluble in dimethyl sulfoxide, sparingly soluble in N,N-dimethylacetamide, slightly soluble in methanol and in water, practically insoluble in acetonitrile and in ethyl acetate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 HPLC:The retention time of the major peak of the Sample solution corresponds to that of the Reference solution, as obtained in the Assay. B. IR:Compare the infrared absorption spectrum of vonoprazan fumarate and that of the Reference Standard: both spectra exhibit similar intensities of absorption at the same wave numbers.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22A56ADD" w14:textId="77777777" w:rsidTr="00AF0756">
        <w:trPr>
          <w:trHeight w:val="152"/>
        </w:trPr>
        <w:tc>
          <w:tcPr>
            <w:tcW w:w="3397" w:type="dxa"/>
            <w:vAlign w:val="center"/>
          </w:tcPr>
          <w:p w14:paraId="6F5E592F" w14:textId="0364CC77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6237" w:type="dxa"/>
            <w:vAlign w:val="center"/>
          </w:tcPr>
          <w:p w14:paraId="1190587D" w14:textId="58222293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699F62FD" w14:textId="1B005F3A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0.01%</w:t>
            </w:r>
          </w:p>
        </w:tc>
      </w:tr>
      <w:tr w:rsidR="0040105E" w:rsidRPr="003C3BCB" w14:paraId="12015206" w14:textId="77777777" w:rsidTr="00AF0756">
        <w:trPr>
          <w:trHeight w:val="70"/>
        </w:trPr>
        <w:tc>
          <w:tcPr>
            <w:tcW w:w="3397" w:type="dxa"/>
            <w:vAlign w:val="center"/>
          </w:tcPr>
          <w:p w14:paraId="3F0169CA" w14:textId="3AA3DF6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Residue on ignition</w:t>
            </w:r>
          </w:p>
        </w:tc>
        <w:tc>
          <w:tcPr>
            <w:tcW w:w="6237" w:type="dxa"/>
            <w:vAlign w:val="center"/>
          </w:tcPr>
          <w:p w14:paraId="34444B7E" w14:textId="64365957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≤0.1%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3B10E3D6" w14:textId="280BEF45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0.03%</w:t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≤10ppm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D:≤0.15%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62AFDF44" w14:textId="77777777" w:rsidTr="00AF0756">
        <w:trPr>
          <w:trHeight w:val="165"/>
        </w:trPr>
        <w:tc>
          <w:tcPr>
            <w:tcW w:w="3397" w:type="dxa"/>
            <w:vMerge/>
            <w:vAlign w:val="center"/>
          </w:tcPr>
          <w:p w14:paraId="5232A0F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B54EB07" w14:textId="76ACB036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E:≤0.15%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3C97591" w14:textId="320D4D8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349C5E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45CAD2B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037A40" w14:textId="346D8B9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F:≤0.15%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D7597B4" w14:textId="24B53D33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 w:rsidR="004F17FF" w:rsidRPr="003C3BCB" w14:paraId="4327E83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2E4B28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46F17A6" w14:textId="1B1AE56B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I:≤0.15%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4EAEA37" w14:textId="13A13D52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8EA40EF" w14:textId="77777777" w:rsidTr="00AF0756">
        <w:trPr>
          <w:trHeight w:val="152"/>
        </w:trPr>
        <w:tc>
          <w:tcPr>
            <w:tcW w:w="3397" w:type="dxa"/>
            <w:vMerge/>
            <w:vAlign w:val="center"/>
          </w:tcPr>
          <w:p w14:paraId="662C0B3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2B81234" w14:textId="4D517B4E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O:≤0.30%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2A9F3613" w14:textId="0B356177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3B7DC8A1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5C4790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090E796" w14:textId="4F1A811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Other single impurity:≤0.1%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2114481" w14:textId="3C5BD5BA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020A490B" w14:textId="77777777" w:rsidTr="00AF0756">
        <w:trPr>
          <w:trHeight w:val="70"/>
        </w:trPr>
        <w:tc>
          <w:tcPr>
            <w:tcW w:w="3397" w:type="dxa"/>
            <w:vMerge/>
            <w:vAlign w:val="center"/>
          </w:tcPr>
          <w:p w14:paraId="257970C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EE72C39" w14:textId="3D51E93A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impurities:&lt;1.0%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5986292" w14:textId="1AAD61E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0.13%</w:t>
            </w:r>
          </w:p>
        </w:tc>
      </w:tr>
      <w:tr w:rsidR="004F17FF" w:rsidRPr="003C3BCB" w14:paraId="3A258555" w14:textId="77777777" w:rsidTr="00AF0756">
        <w:trPr>
          <w:trHeight w:val="165"/>
        </w:trPr>
        <w:tc>
          <w:tcPr>
            <w:tcW w:w="3397" w:type="dxa"/>
            <w:vMerge w:val="restart"/>
            <w:vAlign w:val="center"/>
          </w:tcPr>
          <w:p w14:paraId="2FBB6A5E" w14:textId="674519A8" w:rsidR="004F17FF" w:rsidRPr="00A3600C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I</w:t>
            </w:r>
          </w:p>
        </w:tc>
        <w:tc>
          <w:tcPr>
            <w:tcW w:w="6237" w:type="dxa"/>
            <w:vAlign w:val="center"/>
          </w:tcPr>
          <w:p w14:paraId="43EC5298" w14:textId="255BE0C6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Acetonitrile:≤0.041%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C295EC5" w14:textId="676DEDD1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8EB07F3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5B391E43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94AD1BF" w14:textId="76ECC96D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Methanol:≤0.3%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65D6B53" w14:textId="4412BA49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0.01%</w:t>
            </w:r>
          </w:p>
        </w:tc>
      </w:tr>
      <w:tr w:rsidR="004F17FF" w:rsidRPr="003C3BCB" w14:paraId="61B924EA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2E33A2F6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DFF7DBA" w14:textId="7B1BC3FA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Dichloromethane:≤0.06%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D87118E" w14:textId="098D7D86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78B576E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7A4BFF9E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09A3D91" w14:textId="38DCACF7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Tetrahydrofuran:≤0.072%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838D68A" w14:textId="14152120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BFFE5C5" w14:textId="77777777" w:rsidTr="00AF0756">
        <w:trPr>
          <w:trHeight w:val="200"/>
        </w:trPr>
        <w:tc>
          <w:tcPr>
            <w:tcW w:w="3397" w:type="dxa"/>
            <w:vMerge/>
            <w:vAlign w:val="center"/>
          </w:tcPr>
          <w:p w14:paraId="5235D419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616A995" w14:textId="1441D890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Ethyl acetate:≤0.5%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E74A58C" w14:textId="09A478E2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C02393C" w14:textId="77777777" w:rsidTr="00AF0756">
        <w:trPr>
          <w:trHeight w:val="152"/>
        </w:trPr>
        <w:tc>
          <w:tcPr>
            <w:tcW w:w="3397" w:type="dxa"/>
            <w:vMerge w:val="restart"/>
            <w:vAlign w:val="center"/>
          </w:tcPr>
          <w:p w14:paraId="4C78D895" w14:textId="350749E8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2</w:t>
            </w:r>
          </w:p>
        </w:tc>
        <w:tc>
          <w:tcPr>
            <w:tcW w:w="6237" w:type="dxa"/>
            <w:vAlign w:val="center"/>
          </w:tcPr>
          <w:p w14:paraId="5319A9A3" w14:textId="29A12AD9" w:rsidR="004F17FF" w:rsidRPr="00CD0565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Triethylamine:≤0.5%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A8DC66E" w14:textId="3D777C19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55BA23CE" w14:textId="77777777" w:rsidTr="00AF0756">
        <w:trPr>
          <w:trHeight w:val="98"/>
        </w:trPr>
        <w:tc>
          <w:tcPr>
            <w:tcW w:w="3397" w:type="dxa"/>
            <w:vMerge/>
            <w:vAlign w:val="center"/>
          </w:tcPr>
          <w:p w14:paraId="56B6C057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BFDA744" w14:textId="721CDEE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N,N-Dimethylacetamide:≤0.109%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D06B77E" w14:textId="6847EB71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≥98.5% (Anhydrous basis)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PSD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D90≤50μm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49.9μm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