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Vonoprazan Fumarate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2025-AUG-05</w:t>
            </w:r>
            <w:r>
              <w:rPr>
                <w:sz w:val="24"/>
                <w:szCs w:val="24"/>
              </w:rPr>
            </w:r>
            <w:r w:rsidR="0040105E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="00A3600C">
              <w:rPr>
                <w:sz w:val="24"/>
                <w:szCs w:val="24"/>
              </w:rPr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04</w:t>
            </w:r>
            <w:r w:rsidR="00A12D12"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 w:rsidR="00A12D12">
              <w:rPr>
                <w:sz w:val="24"/>
                <w:szCs w:val="24"/>
              </w:rPr>
              <w:t>/20</w:t>
            </w:r>
            <w:r w:rsidR="0040105E">
              <w:rPr>
                <w:sz w:val="24"/>
                <w:szCs w:val="24"/>
              </w:rPr>
              <w:t>30</w:t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off-white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Soluble in dimethyl sulfoxide, sparingly soluble in N,N-dimethylacetamide, slightly soluble in methanol and in water, practically insoluble in acetonitrile and in ethyl acetate</w:t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  <w:r>
              <w:rPr>
                <w:sz w:val="24"/>
                <w:szCs w:val="24"/>
                <w:lang w:bidi="ar-SY"/>
              </w:rPr>
            </w:r>
            <w:r w:rsidRPr="0040105E">
              <w:rPr>
                <w:sz w:val="24"/>
                <w:szCs w:val="24"/>
                <w:lang w:bidi="ar-SY"/>
              </w:rPr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 HPLC:The retention time of the major peak of the Sample solution corresponds to that of the Reference solution, as obtained in the Assay.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Conforms</w:t>
            </w:r>
            <w:r>
              <w:rPr>
                <w:sz w:val="24"/>
                <w:szCs w:val="24"/>
              </w:rPr>
            </w:r>
          </w:p>
        </w:tc>
      </w:tr>
      <w:tr w:rsidR="00A12D12" w:rsidRPr="003C3BCB" w14:paraId="22A56ADD" w14:textId="77777777" w:rsidTr="00AF0756">
        <w:trPr>
          <w:trHeight w:val="152"/>
        </w:trPr>
        <w:tc>
          <w:tcPr>
            <w:tcW w:w="3397" w:type="dxa"/>
            <w:vAlign w:val="center"/>
          </w:tcPr>
          <w:p w14:paraId="6F5E592F" w14:textId="0364CC77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6237" w:type="dxa"/>
            <w:vAlign w:val="center"/>
          </w:tcPr>
          <w:p w14:paraId="1190587D" w14:textId="58222293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≤0.5%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699F62FD" w14:textId="1B005F3A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0.01%</w:t>
            </w:r>
          </w:p>
        </w:tc>
      </w:tr>
      <w:tr w:rsidR="0040105E" w:rsidRPr="003C3BCB" w14:paraId="12015206" w14:textId="77777777" w:rsidTr="00AF0756">
        <w:trPr>
          <w:trHeight w:val="70"/>
        </w:trPr>
        <w:tc>
          <w:tcPr>
            <w:tcW w:w="3397" w:type="dxa"/>
            <w:vAlign w:val="center"/>
          </w:tcPr>
          <w:p w14:paraId="3F0169CA" w14:textId="3AA3DF6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Residue on ignition</w:t>
            </w:r>
          </w:p>
        </w:tc>
        <w:tc>
          <w:tcPr>
            <w:tcW w:w="6237" w:type="dxa"/>
            <w:vAlign w:val="center"/>
          </w:tcPr>
          <w:p w14:paraId="34444B7E" w14:textId="64365957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≤0.1%</w:t>
            </w:r>
            <w:r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3B10E3D6" w14:textId="280BEF45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0.03%</w:t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≤10ppm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D:&lt;0.15%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62AFDF44" w14:textId="77777777" w:rsidTr="00AF0756">
        <w:trPr>
          <w:trHeight w:val="165"/>
        </w:trPr>
        <w:tc>
          <w:tcPr>
            <w:tcW w:w="3397" w:type="dxa"/>
            <w:vMerge/>
            <w:vAlign w:val="center"/>
          </w:tcPr>
          <w:p w14:paraId="5232A0F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B54EB07" w14:textId="76ACB036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E:&lt;0.15%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3C97591" w14:textId="320D4D8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349C5E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45CAD2B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037A40" w14:textId="346D8B9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F:&lt;0.15%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D7597B4" w14:textId="24B53D33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 w:rsidR="004F17FF" w:rsidRPr="003C3BCB" w14:paraId="4327E83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2E4B28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46F17A6" w14:textId="1B1AE56B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I:&lt;0.15%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4EAEA37" w14:textId="13A13D52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8EA40EF" w14:textId="77777777" w:rsidTr="00AF0756">
        <w:trPr>
          <w:trHeight w:val="152"/>
        </w:trPr>
        <w:tc>
          <w:tcPr>
            <w:tcW w:w="3397" w:type="dxa"/>
            <w:vMerge/>
            <w:vAlign w:val="center"/>
          </w:tcPr>
          <w:p w14:paraId="662C0B3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2B81234" w14:textId="4D517B4E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O:&lt;0.30%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2A9F3613" w14:textId="0B356177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3B7DC8A1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5C4790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090E796" w14:textId="4F1A811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Other single impurity:&lt;0.1%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2114481" w14:textId="3C5BD5BA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020A490B" w14:textId="77777777" w:rsidTr="00AF0756">
        <w:trPr>
          <w:trHeight w:val="70"/>
        </w:trPr>
        <w:tc>
          <w:tcPr>
            <w:tcW w:w="3397" w:type="dxa"/>
            <w:vMerge/>
            <w:vAlign w:val="center"/>
          </w:tcPr>
          <w:p w14:paraId="257970C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EE72C39" w14:textId="3D51E93A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impurities:&lt;1.0%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5986292" w14:textId="1AAD61E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0.13%</w:t>
            </w:r>
          </w:p>
        </w:tc>
      </w:tr>
      <w:tr w:rsidR="004F17FF" w:rsidRPr="003C3BCB" w14:paraId="3A258555" w14:textId="77777777" w:rsidTr="00AF0756">
        <w:trPr>
          <w:trHeight w:val="165"/>
        </w:trPr>
        <w:tc>
          <w:tcPr>
            <w:tcW w:w="3397" w:type="dxa"/>
            <w:vMerge w:val="restart"/>
            <w:vAlign w:val="center"/>
          </w:tcPr>
          <w:p w14:paraId="2FBB6A5E" w14:textId="674519A8" w:rsidR="004F17FF" w:rsidRPr="00A3600C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I</w:t>
            </w:r>
          </w:p>
        </w:tc>
        <w:tc>
          <w:tcPr>
            <w:tcW w:w="6237" w:type="dxa"/>
            <w:vAlign w:val="center"/>
          </w:tcPr>
          <w:p w14:paraId="43EC5298" w14:textId="255BE0C6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Acetonitrile:&lt;0.041%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C295EC5" w14:textId="676DEDD1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8EB07F3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5B391E43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94AD1BF" w14:textId="76ECC96D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Methanol:&lt;0.3%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65D6B53" w14:textId="4412BA49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0.01%</w:t>
            </w:r>
          </w:p>
        </w:tc>
      </w:tr>
      <w:tr w:rsidR="004F17FF" w:rsidRPr="003C3BCB" w14:paraId="61B924EA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2E33A2F6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DFF7DBA" w14:textId="7B1BC3FA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Dichloromethane:&lt;0.06%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D87118E" w14:textId="098D7D86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78B576E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7A4BFF9E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09A3D91" w14:textId="38DCACF7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Tetrahydrofuran:&lt;0.072%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4838D68A" w14:textId="14152120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BFFE5C5" w14:textId="77777777" w:rsidTr="00AF0756">
        <w:trPr>
          <w:trHeight w:val="200"/>
        </w:trPr>
        <w:tc>
          <w:tcPr>
            <w:tcW w:w="3397" w:type="dxa"/>
            <w:vMerge/>
            <w:vAlign w:val="center"/>
          </w:tcPr>
          <w:p w14:paraId="5235D419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616A995" w14:textId="1441D890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Ethyl acetate:&lt;0.5%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5E74A58C" w14:textId="09A478E2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C02393C" w14:textId="77777777" w:rsidTr="00AF0756">
        <w:trPr>
          <w:trHeight w:val="152"/>
        </w:trPr>
        <w:tc>
          <w:tcPr>
            <w:tcW w:w="3397" w:type="dxa"/>
            <w:vMerge w:val="restart"/>
            <w:vAlign w:val="center"/>
          </w:tcPr>
          <w:p w14:paraId="4C78D895" w14:textId="350749E8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2</w:t>
            </w:r>
          </w:p>
        </w:tc>
        <w:tc>
          <w:tcPr>
            <w:tcW w:w="6237" w:type="dxa"/>
            <w:vAlign w:val="center"/>
          </w:tcPr>
          <w:p w14:paraId="5319A9A3" w14:textId="29A12AD9" w:rsidR="004F17FF" w:rsidRPr="00CD0565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Triethylamine:&lt;0.5%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1A8DC66E" w14:textId="3D777C19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55BA23CE" w14:textId="77777777" w:rsidTr="00AF0756">
        <w:trPr>
          <w:trHeight w:val="98"/>
        </w:trPr>
        <w:tc>
          <w:tcPr>
            <w:tcW w:w="3397" w:type="dxa"/>
            <w:vMerge/>
            <w:vAlign w:val="center"/>
          </w:tcPr>
          <w:p w14:paraId="56B6C057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BFDA744" w14:textId="721CDEE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N,N-Dimethylacetamide:&lt;0.109%</w:t>
            </w:r>
            <w:r>
              <w:rPr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  <w:vAlign w:val="center"/>
          </w:tcPr>
          <w:p w14:paraId="0D06B77E" w14:textId="6847EB71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&gt;98.5% (Anhydrous basis)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B. IR:Compare the infrared absorption spectrum of vonoprazan fumarate and that of the Reference Standard: both spectra exhibit similar intensities of absorption at the same wave numbers.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Conforms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PSD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D90≤50μm</w:t>
            </w:r>
            <w:r w:rsidRPr="004F17FF">
              <w:rPr>
                <w:sz w:val="24"/>
                <w:szCs w:val="24"/>
              </w:rPr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49.9μm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