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nil"/>
        </w:pBdr>
        <w:tabs>
          <w:tab w:val="left" w:pos="306" w:leader="none"/>
        </w:tabs>
        <w:rPr>
          <w:rFonts w:hint="eastAsia"/>
          <w:b/>
          <w:caps/>
          <w:sz w:val="13"/>
          <w:szCs w:val="13"/>
          <w:lang w:val="en-US" w:eastAsia="en-US"/>
        </w:rPr>
      </w:pPr>
      <w:r>
        <w:rPr>
          <w:rFonts w:hint="eastAsia"/>
          <w:b/>
          <w:caps/>
          <w:sz w:val="13"/>
          <w:szCs w:val="13"/>
          <w:lang w:val="en-US" w:eastAsia="en-US"/>
        </w:rPr>
        <w:drawing>
          <wp:anchor distT="0" distB="0" distL="114935" distR="114935" simplePos="0" relativeHeight="4" behindDoc="1" locked="0" layoutInCell="1" allowOverlap="1">
            <wp:simplePos x="0" y="0"/>
            <wp:positionH relativeFrom="column">
              <wp:posOffset>1946910</wp:posOffset>
            </wp:positionH>
            <wp:positionV relativeFrom="paragraph">
              <wp:posOffset>-53340</wp:posOffset>
            </wp:positionV>
            <wp:extent cx="1600200" cy="170243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" t="-15" r="-16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02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er"/>
        <w:pBdr>
          <w:bottom w:val="nil"/>
        </w:pBdr>
        <w:tabs>
          <w:tab w:val="left" w:pos="306" w:leader="none"/>
        </w:tabs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Certificate of Analysis</w:t>
      </w:r>
    </w:p>
    <w:p>
      <w:pPr>
        <w:pStyle w:val="Header"/>
        <w:pBdr>
          <w:bottom w:val="nil"/>
        </w:pBdr>
        <w:tabs>
          <w:tab w:val="left" w:pos="306" w:leader="none"/>
        </w:tabs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</w:r>
    </w:p>
    <w:tbl>
      <w:tblPr>
        <w:tblW w:w="1090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848"/>
        <w:gridCol w:w="2215"/>
        <w:gridCol w:w="1970"/>
        <w:gridCol w:w="1665"/>
        <w:gridCol w:w="749"/>
        <w:gridCol w:w="2461"/>
      </w:tblGrid>
      <w:tr>
        <w:trPr>
          <w:trHeight w:val="422" w:hRule="atLeast"/>
        </w:trPr>
        <w:tc>
          <w:tcPr>
            <w:tcW w:w="1848" w:type="dxa"/>
            <w:tcBorders>
              <w:top w:val="double" w:sz="4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b/>
                <w:szCs w:val="21"/>
              </w:rPr>
              <w:t>Product Name</w:t>
            </w:r>
            <w:r>
              <w:rPr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double" w:sz="4" w:space="0" w:color="000000"/>
              <w:start w:val="single" w:sz="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b/>
                <w:kern w:val="0"/>
                <w:szCs w:val="21"/>
              </w:rPr>
              <w:t>Acyclovir</w:t>
            </w:r>
          </w:p>
        </w:tc>
        <w:tc>
          <w:tcPr>
            <w:tcW w:w="2414" w:type="dxa"/>
            <w:gridSpan w:val="2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Packing</w:t>
            </w:r>
            <w:r>
              <w:rPr>
                <w:rFonts w:cs="SimSun;宋体" w:hint="eastAsia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double" w:sz="4" w:space="0" w:color="000000"/>
              <w:start w:val="single" w:sz="4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hint="eastAsia"/>
                <w:b/>
                <w:szCs w:val="21"/>
              </w:rPr>
              <w:t>25 kg/drum</w:t>
            </w:r>
          </w:p>
        </w:tc>
      </w:tr>
      <w:tr>
        <w:trPr>
          <w:trHeight w:val="375" w:hRule="atLeast"/>
        </w:trPr>
        <w:tc>
          <w:tcPr>
            <w:tcW w:w="1848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/>
            </w:pPr>
            <w:r>
              <w:rPr>
                <w:b/>
                <w:szCs w:val="21"/>
              </w:rPr>
              <w:t>Batch N</w:t>
            </w:r>
            <w:r>
              <w:rPr>
                <w:rFonts w:hint="eastAsia"/>
                <w:b/>
                <w:szCs w:val="21"/>
              </w:rPr>
              <w:t>o</w:t>
            </w:r>
            <w:r>
              <w:rPr>
                <w:b/>
                <w:szCs w:val="21"/>
              </w:rPr>
              <w:t>.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C004026052601</w:t>
            </w:r>
          </w:p>
        </w:tc>
        <w:tc>
          <w:tcPr>
            <w:tcW w:w="2414" w:type="dxa"/>
            <w:gridSpan w:val="2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b/>
                <w:szCs w:val="21"/>
              </w:rPr>
            </w:pPr>
            <w:r>
              <w:rPr>
                <w:b/>
                <w:szCs w:val="21"/>
              </w:rPr>
              <w:t>Manufacturing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b/>
                <w:szCs w:val="21"/>
              </w:rPr>
            </w:pPr>
            <w:r>
              <w:rPr>
                <w:b/>
                <w:szCs w:val="21"/>
              </w:rPr>
              <w:t>2026-05-26</w:t>
            </w:r>
          </w:p>
        </w:tc>
      </w:tr>
      <w:tr>
        <w:trPr/>
        <w:tc>
          <w:tcPr>
            <w:tcW w:w="184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 xml:space="preserve">Batch </w:t>
            </w:r>
            <w:r>
              <w:rPr>
                <w:b/>
                <w:szCs w:val="21"/>
              </w:rPr>
              <w:t>Quantity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4185" w:type="dxa"/>
            <w:gridSpan w:val="2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cs"/>
                <w:b/>
                <w:szCs w:val="21"/>
                <w:highlight w:val="yellow"/>
                <w:lang w:bidi="ar-SY"/>
              </w:rPr>
            </w:pPr>
            <w:r>
              <w:rPr>
                <w:rFonts w:hint="cs"/>
                <w:b/>
                <w:szCs w:val="21"/>
              </w:rPr>
              <w:t>-</w:t>
            </w:r>
            <w:r>
              <w:rPr>
                <w:rFonts w:hint="eastAsia"/>
                <w:b/>
                <w:szCs w:val="21"/>
              </w:rPr>
              <w:t xml:space="preserve"> </w:t>
            </w:r>
          </w:p>
        </w:tc>
        <w:tc>
          <w:tcPr>
            <w:tcW w:w="2414" w:type="dxa"/>
            <w:gridSpan w:val="2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Test</w:t>
            </w:r>
            <w:r>
              <w:rPr>
                <w:b/>
                <w:szCs w:val="21"/>
              </w:rPr>
              <w:t xml:space="preserve">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2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2026</w:t>
            </w:r>
            <w:r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05</w:t>
            </w:r>
            <w:r>
              <w:rPr>
                <w:rFonts w:hint="eastAsia"/>
                <w:b/>
                <w:szCs w:val="21"/>
              </w:rPr>
              <w:t>-</w:t>
            </w:r>
            <w:r>
              <w:rPr>
                <w:b/>
                <w:szCs w:val="21"/>
              </w:rPr>
              <w:t>29</w:t>
            </w:r>
          </w:p>
        </w:tc>
      </w:tr>
      <w:tr>
        <w:trPr/>
        <w:tc>
          <w:tcPr>
            <w:tcW w:w="1848" w:type="dxa"/>
            <w:tcBorders>
              <w:top w:val="single" w:sz="2" w:space="0" w:color="000000"/>
              <w:start w:val="single" w:sz="2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Storage</w:t>
            </w:r>
          </w:p>
        </w:tc>
        <w:tc>
          <w:tcPr>
            <w:tcW w:w="4185" w:type="dxa"/>
            <w:gridSpan w:val="2"/>
            <w:tcBorders>
              <w:top w:val="single" w:sz="2" w:space="0" w:color="000000"/>
              <w:start w:val="single" w:sz="2" w:space="0" w:color="000000"/>
              <w:bottom w:val="doub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  <w:highlight w:val="yellow"/>
              </w:rPr>
            </w:pPr>
            <w:r>
              <w:rPr>
                <w:rFonts w:hint="eastAsia"/>
                <w:b/>
                <w:bCs/>
                <w:color w:val="000000"/>
                <w:kern w:val="0"/>
                <w:sz w:val="18"/>
                <w:szCs w:val="18"/>
              </w:rPr>
              <w:t>Stored in closed container and protected from light</w:t>
            </w:r>
          </w:p>
        </w:tc>
        <w:tc>
          <w:tcPr>
            <w:tcW w:w="2414" w:type="dxa"/>
            <w:gridSpan w:val="2"/>
            <w:tcBorders>
              <w:top w:val="single" w:sz="2" w:space="0" w:color="000000"/>
              <w:start w:val="single" w:sz="4" w:space="0" w:color="000000"/>
              <w:bottom w:val="doub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b/>
                <w:szCs w:val="21"/>
              </w:rPr>
            </w:pPr>
            <w:r>
              <w:rPr>
                <w:rFonts w:cs="SimSun;宋体" w:hint="eastAsia"/>
                <w:b/>
                <w:szCs w:val="21"/>
              </w:rPr>
              <w:t>Expire</w:t>
            </w:r>
            <w:r>
              <w:rPr>
                <w:b/>
                <w:szCs w:val="21"/>
              </w:rPr>
              <w:t xml:space="preserve"> Date</w:t>
            </w:r>
            <w:r>
              <w:rPr>
                <w:rFonts w:cs="SimSun;宋体"/>
                <w:b/>
                <w:szCs w:val="21"/>
              </w:rPr>
              <w:t>：</w:t>
            </w:r>
          </w:p>
        </w:tc>
        <w:tc>
          <w:tcPr>
            <w:tcW w:w="2461" w:type="dxa"/>
            <w:tcBorders>
              <w:top w:val="single" w:sz="2" w:space="0" w:color="000000"/>
              <w:start w:val="single" w:sz="4" w:space="0" w:color="000000"/>
              <w:bottom w:val="doub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Cs w:val="21"/>
              </w:rPr>
            </w:pPr>
            <w:r>
              <w:rPr>
                <w:b/>
                <w:szCs w:val="21"/>
              </w:rPr>
              <w:t>2028-05-25</w:t>
            </w:r>
          </w:p>
        </w:tc>
      </w:tr>
      <w:tr>
        <w:trPr/>
        <w:tc>
          <w:tcPr>
            <w:tcW w:w="10908" w:type="dxa"/>
            <w:gridSpan w:val="6"/>
            <w:tcBorders>
              <w:top w:val="doub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cs="SimSun;宋体"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Test </w:t>
            </w:r>
            <w:r>
              <w:rPr>
                <w:rFonts w:hint="eastAsia"/>
                <w:sz w:val="18"/>
                <w:szCs w:val="18"/>
              </w:rPr>
              <w:t>Specification</w:t>
            </w:r>
            <w:r>
              <w:rPr>
                <w:rFonts w:cs="SimSun;宋体"/>
                <w:sz w:val="18"/>
                <w:szCs w:val="18"/>
              </w:rPr>
              <w:t>：</w:t>
            </w:r>
            <w:r>
              <w:rPr>
                <w:rFonts w:cs="SimSun;宋体"/>
                <w:sz w:val="18"/>
                <w:szCs w:val="18"/>
              </w:rPr>
              <w:t>USP</w:t>
            </w:r>
          </w:p>
        </w:tc>
      </w:tr>
      <w:tr>
        <w:trPr/>
        <w:tc>
          <w:tcPr>
            <w:tcW w:w="406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SimSun;宋体" w:hint="eastAsia"/>
                <w:b/>
                <w:sz w:val="18"/>
                <w:szCs w:val="18"/>
              </w:rPr>
              <w:t>Test</w:t>
            </w:r>
            <w:r>
              <w:rPr>
                <w:b/>
                <w:sz w:val="18"/>
                <w:szCs w:val="18"/>
              </w:rPr>
              <w:t xml:space="preserve"> Items</w:t>
            </w:r>
          </w:p>
        </w:tc>
        <w:tc>
          <w:tcPr>
            <w:tcW w:w="363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Acceptance criteria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6E6E6" w:val="clear"/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b/>
                <w:sz w:val="18"/>
                <w:szCs w:val="18"/>
              </w:rPr>
              <w:t>Test</w:t>
            </w:r>
            <w:r>
              <w:rPr>
                <w:rFonts w:hint="eastAsia"/>
                <w:b/>
                <w:sz w:val="18"/>
                <w:szCs w:val="18"/>
              </w:rPr>
              <w:t>ed</w:t>
            </w:r>
            <w:r>
              <w:rPr>
                <w:b/>
                <w:sz w:val="18"/>
                <w:szCs w:val="18"/>
              </w:rPr>
              <w:t xml:space="preserve"> Results</w:t>
            </w:r>
          </w:p>
        </w:tc>
      </w:tr>
      <w:tr>
        <w:trPr>
          <w:trHeight w:val="563" w:hRule="atLeast"/>
        </w:trPr>
        <w:tc>
          <w:tcPr>
            <w:tcW w:w="4063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Appearance</w:t>
            </w:r>
          </w:p>
        </w:tc>
        <w:tc>
          <w:tcPr>
            <w:tcW w:w="3635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 white crystalline powder</w:t>
            </w:r>
          </w:p>
        </w:tc>
        <w:tc>
          <w:tcPr>
            <w:tcW w:w="3210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Conforms</w:t>
            </w:r>
          </w:p>
        </w:tc>
      </w:tr>
      <w:tr>
        <w:trPr>
          <w:trHeight w:val="694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Identification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HPLC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cs"/>
                <w:bCs/>
                <w:sz w:val="18"/>
                <w:szCs w:val="18"/>
              </w:rPr>
              <w:t xml:space="preserve"> </w:t>
            </w:r>
            <w:r>
              <w:rPr>
                <w:bCs/>
                <w:sz w:val="18"/>
                <w:szCs w:val="18"/>
              </w:rPr>
              <w:t>IR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Conforms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bCs/>
                <w:sz w:val="18"/>
                <w:szCs w:val="18"/>
              </w:rPr>
            </w:pPr>
            <w:r>
              <w:rPr>
                <w:rFonts w:hint="eastAsia"/>
                <w:bCs/>
                <w:sz w:val="18"/>
                <w:szCs w:val="18"/>
              </w:rPr>
              <w:t>Conforms</w:t>
            </w:r>
          </w:p>
        </w:tc>
      </w:tr>
      <w:tr>
        <w:trPr>
          <w:trHeight w:val="563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6"/>
              <w:jc w:val="start"/>
              <w:rPr>
                <w:rFonts w:hint="eastAsia"/>
                <w:sz w:val="18"/>
                <w:szCs w:val="18"/>
              </w:rPr>
            </w:pPr>
            <w:r>
              <w:rPr>
                <w:rFonts w:cs="SimSun;宋体"/>
                <w:bCs/>
                <w:sz w:val="18"/>
                <w:szCs w:val="18"/>
              </w:rPr>
              <w:t>Water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6.0%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0.94%</w:t>
            </w:r>
          </w:p>
        </w:tc>
      </w:tr>
      <w:tr>
        <w:trPr>
          <w:trHeight w:val="3675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6"/>
              <w:jc w:val="start"/>
              <w:rPr>
                <w:rFonts w:cs="SimSun;宋体" w:hint="eastAsia"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>Related impurity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Guanine≤0.7%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Hydroxyethyl guanine≤0.2%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</w:t>
            </w:r>
            <w:r>
              <w:rPr>
                <w:color w:val="000000"/>
                <w:kern w:val="0"/>
                <w:sz w:val="18"/>
                <w:szCs w:val="18"/>
                <w:vertAlign w:val="superscript"/>
              </w:rPr>
              <w:t>7</w:t>
            </w:r>
            <w:r>
              <w:rPr>
                <w:color w:val="000000"/>
                <w:kern w:val="0"/>
                <w:sz w:val="18"/>
                <w:szCs w:val="18"/>
              </w:rPr>
              <w:t>-Isomer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Specified impurity 1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Specified impurity 2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0.3%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7,9'-Diguanyl analog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9,9'-Diguanyl analog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0.2%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Acyclovir related compound F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Acyclovir related compound A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Diacetyl guanine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Bis-acyclovir</w:t>
            </w:r>
            <w:r>
              <w:rPr>
                <w:rFonts w:hint="eastAsia"/>
                <w:color w:val="000000"/>
                <w:kern w:val="0"/>
                <w:sz w:val="18"/>
                <w:szCs w:val="18"/>
              </w:rPr>
              <w:t>≤</w:t>
            </w:r>
            <w:r>
              <w:rPr>
                <w:color w:val="000000"/>
                <w:kern w:val="0"/>
                <w:sz w:val="18"/>
                <w:szCs w:val="18"/>
              </w:rPr>
              <w:t>0.2%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Acyclovir related compound G ≤0.1%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Any unspecified impurity≤0.05%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Total impurities≤1.0%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0.20%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0.01%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0.01%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0.02%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0.02%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ND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0.03%</w:t>
            </w:r>
          </w:p>
          <w:p>
            <w:pPr>
              <w:pStyle w:val="Normal"/>
              <w:snapToGrid w:val="false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0.30%</w:t>
            </w:r>
          </w:p>
        </w:tc>
      </w:tr>
      <w:tr>
        <w:trPr>
          <w:trHeight w:val="552" w:hRule="atLeast"/>
        </w:trPr>
        <w:tc>
          <w:tcPr>
            <w:tcW w:w="4063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ind w:end="360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Assay by HPLC</w:t>
            </w:r>
          </w:p>
        </w:tc>
        <w:tc>
          <w:tcPr>
            <w:tcW w:w="363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color w:val="000000"/>
                <w:kern w:val="0"/>
                <w:sz w:val="18"/>
                <w:szCs w:val="18"/>
                <w:lang w:val="zh-CN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98.0%~102.0%</w:t>
            </w:r>
          </w:p>
        </w:tc>
        <w:tc>
          <w:tcPr>
            <w:tcW w:w="32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hint="eastAsia"/>
                <w:color w:val="000000"/>
                <w:kern w:val="0"/>
                <w:sz w:val="18"/>
                <w:szCs w:val="18"/>
                <w:highlight w:val="yellow"/>
              </w:rPr>
            </w:pPr>
            <w:r>
              <w:rPr>
                <w:color w:val="000000"/>
                <w:kern w:val="0"/>
                <w:sz w:val="18"/>
                <w:szCs w:val="18"/>
              </w:rPr>
              <w:t>99.8%</w:t>
            </w:r>
          </w:p>
        </w:tc>
      </w:tr>
      <w:tr>
        <w:trPr>
          <w:trHeight w:val="273" w:hRule="atLeast"/>
        </w:trPr>
        <w:tc>
          <w:tcPr>
            <w:tcW w:w="10908" w:type="dxa"/>
            <w:gridSpan w:val="6"/>
            <w:tcBorders>
              <w:top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ind w:firstLineChars="0" w:firstLine="0" w:startChars="-295" w:endChars="0" w:end="0"/>
              <w:rPr>
                <w:rFonts w:hint="eastAsia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Note:     N.D indicates </w:t>
            </w:r>
            <w:r>
              <w:rPr>
                <w:sz w:val="18"/>
                <w:szCs w:val="18"/>
              </w:rPr>
              <w:t>“</w:t>
            </w:r>
            <w:r>
              <w:rPr>
                <w:rFonts w:hint="eastAsia"/>
                <w:sz w:val="18"/>
                <w:szCs w:val="18"/>
              </w:rPr>
              <w:t>Not detected</w:t>
            </w:r>
            <w:r>
              <w:rPr>
                <w:sz w:val="18"/>
                <w:szCs w:val="18"/>
              </w:rPr>
              <w:t>“</w:t>
            </w:r>
          </w:p>
        </w:tc>
      </w:tr>
    </w:tbl>
    <w:p>
      <w:pPr>
        <w:pStyle w:val="Normal"/>
        <w:ind w:firstLineChars="0" w:firstLine="0" w:startChars="-295" w:endChars="0" w:end="0"/>
        <w:rPr>
          <w:rFonts w:hint="eastAsia"/>
          <w:szCs w:val="21"/>
        </w:rPr>
      </w:pPr>
      <w:r>
        <w:rPr>
          <w:rFonts w:hint="eastAsia"/>
          <w:szCs w:val="21"/>
        </w:rPr>
      </w:r>
    </w:p>
    <w:tbl>
      <w:tblPr>
        <w:tblW w:w="10485" w:type="dxa"/>
        <w:jc w:val="start"/>
        <w:tblInd w:w="-98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485"/>
      </w:tblGrid>
      <w:tr>
        <w:trPr/>
        <w:tc>
          <w:tcPr>
            <w:tcW w:w="10485" w:type="dxa"/>
            <w:tcBorders/>
          </w:tcPr>
          <w:p>
            <w:pPr>
              <w:pStyle w:val="Normal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Conclusion: </w:t>
            </w:r>
            <w:r>
              <w:rPr>
                <w:b/>
                <w:bCs/>
                <w:szCs w:val="21"/>
              </w:rPr>
              <w:t>Complies With USP -NF</w:t>
            </w:r>
            <w:r>
              <w:rPr>
                <w:rFonts w:hint="cs"/>
                <w:b/>
                <w:bCs/>
                <w:szCs w:val="21"/>
              </w:rPr>
              <w:t xml:space="preserve"> </w:t>
            </w:r>
            <w:r>
              <w:rPr>
                <w:b/>
                <w:bCs/>
                <w:szCs w:val="21"/>
              </w:rPr>
              <w:t>2025</w:t>
            </w:r>
            <w:r>
              <w:rPr>
                <w:rFonts w:hint="eastAsia"/>
                <w:b/>
                <w:bCs/>
                <w:szCs w:val="21"/>
              </w:rPr>
              <w:t>.</w:t>
            </w:r>
          </w:p>
        </w:tc>
      </w:tr>
    </w:tbl>
    <w:p>
      <w:pPr>
        <w:pStyle w:val="Normal"/>
        <w:rPr>
          <w:rFonts w:hint="eastAsia"/>
          <w:szCs w:val="21"/>
          <w:lang w:val="en-US" w:eastAsia="en-US"/>
        </w:rPr>
      </w:pPr>
      <w:r>
        <w:rPr>
          <w:rFonts w:hint="eastAsia"/>
          <w:szCs w:val="21"/>
          <w:lang w:val="en-US" w:eastAsia="en-US"/>
        </w:rPr>
        <w:drawing>
          <wp:anchor distT="0" distB="0" distL="114935" distR="114935" simplePos="0" relativeHeight="5" behindDoc="1" locked="0" layoutInCell="1" allowOverlap="1">
            <wp:simplePos x="0" y="0"/>
            <wp:positionH relativeFrom="column">
              <wp:posOffset>4541520</wp:posOffset>
            </wp:positionH>
            <wp:positionV relativeFrom="paragraph">
              <wp:posOffset>59690</wp:posOffset>
            </wp:positionV>
            <wp:extent cx="1577975" cy="63436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" t="-25" r="-10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975" cy="63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7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90170</wp:posOffset>
            </wp:positionV>
            <wp:extent cx="1424940" cy="372745"/>
            <wp:effectExtent l="0" t="0" r="0" b="0"/>
            <wp:wrapNone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5" t="-59" r="-15" b="-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72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10560" w:type="dxa"/>
        <w:jc w:val="start"/>
        <w:tblInd w:w="-981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0"/>
        <w:gridCol w:w="3520"/>
        <w:gridCol w:w="3520"/>
      </w:tblGrid>
      <w:tr>
        <w:trPr/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  <w:sz w:val="18"/>
                <w:szCs w:val="18"/>
              </w:rPr>
              <w:t>Report</w:t>
            </w:r>
            <w:r>
              <w:rPr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>r/Date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drawing>
                <wp:anchor distT="0" distB="0" distL="114935" distR="114935" simplePos="0" relativeHeight="6" behindDoc="1" locked="0" layoutInCell="1" allowOverlap="1">
                  <wp:simplePos x="0" y="0"/>
                  <wp:positionH relativeFrom="column">
                    <wp:posOffset>582295</wp:posOffset>
                  </wp:positionH>
                  <wp:positionV relativeFrom="paragraph">
                    <wp:posOffset>113030</wp:posOffset>
                  </wp:positionV>
                  <wp:extent cx="1648460" cy="459740"/>
                  <wp:effectExtent l="0" t="0" r="0" b="0"/>
                  <wp:wrapNone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14" t="-50" r="-14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8460" cy="4597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sz w:val="18"/>
                <w:szCs w:val="18"/>
              </w:rPr>
              <w:t>Reviewer/Date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  <w:tc>
          <w:tcPr>
            <w:tcW w:w="3520" w:type="dxa"/>
            <w:tcBorders/>
          </w:tcPr>
          <w:p>
            <w:pPr>
              <w:pStyle w:val="Normal"/>
              <w:rPr/>
            </w:pPr>
            <w:r>
              <w:rPr>
                <w:rFonts w:hint="eastAsia"/>
                <w:sz w:val="18"/>
                <w:szCs w:val="18"/>
              </w:rPr>
              <w:t>QA Head/Date</w:t>
            </w:r>
            <w:r>
              <w:rPr>
                <w:rFonts w:hint="eastAsia"/>
                <w:sz w:val="18"/>
                <w:szCs w:val="18"/>
              </w:rPr>
              <w:t>：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420"/>
          <w:tab w:val="left" w:pos="1177" w:leader="none"/>
        </w:tabs>
        <w:jc w:val="start"/>
        <w:rPr/>
      </w:pPr>
      <w:r>
        <w:rPr/>
      </w:r>
    </w:p>
    <w:sectPr>
      <w:headerReference w:type="default" r:id="rId6"/>
      <w:footerReference w:type="default" r:id="rId7"/>
      <w:type w:val="nextPage"/>
      <w:pgSz w:w="11906" w:h="16838"/>
      <w:pgMar w:left="1800" w:right="1800" w:gutter="0" w:header="851" w:top="1440" w:footer="55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1.No.8 Hongyuan Road,Economic Development Zone, Fengshan Town,Luotian County,</w:t>
    </w:r>
  </w:p>
  <w:p>
    <w:pPr>
      <w:pStyle w:val="Footer"/>
      <w:rPr/>
    </w:pPr>
    <w:r>
      <w:rPr/>
      <w:t>Huanggang city, Hubei province, China 2.No.8 Fengshan Avenue, Luotian Industrial</w:t>
    </w:r>
  </w:p>
  <w:p>
    <w:pPr>
      <w:pStyle w:val="Footer"/>
      <w:rPr/>
    </w:pPr>
    <w:r>
      <w:rPr/>
      <w:t>Economic Development Zone, Huanggang City, Hubei Province, China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start"/>
      <w:rPr>
        <w:rFonts w:ascii="Arial" w:hAnsi="Arial" w:cs="Arial" w:hint="eastAsia"/>
        <w:color w:val="000000"/>
        <w:sz w:val="24"/>
      </w:rPr>
    </w:pPr>
    <w:r>
      <w:rPr>
        <w:rFonts w:cs="Arial" w:hint="eastAsia" w:ascii="Arial" w:hAnsi="Arial"/>
        <w:color w:val="000000"/>
        <w:sz w:val="24"/>
      </w:rPr>
      <w:drawing>
        <wp:inline distT="0" distB="0" distL="0" distR="0">
          <wp:extent cx="3232785" cy="428625"/>
          <wp:effectExtent l="0" t="0" r="0" b="0"/>
          <wp:docPr id="5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52" r="-7" b="-52"/>
                  <a:stretch>
                    <a:fillRect/>
                  </a:stretch>
                </pic:blipFill>
                <pic:spPr bwMode="auto">
                  <a:xfrm>
                    <a:off x="0" y="0"/>
                    <a:ext cx="3232785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SimSun;宋体" w:cs="Times New Roman"/>
      <w:color w:val="auto"/>
      <w:kern w:val="2"/>
      <w:sz w:val="21"/>
      <w:szCs w:val="24"/>
      <w:lang w:bidi="ar-SA" w:val="en-US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2018-03-22T15:43:00Z</dcterms:created>
  <dc:creator>User</dc:creator>
  <dc:description/>
  <cp:keywords/>
  <dc:language>en-US</dc:language>
  <cp:lastModifiedBy>Api3</cp:lastModifiedBy>
  <cp:lastPrinted>2026-07-29T14:13:00Z</cp:lastPrinted>
  <dcterms:modified xsi:type="dcterms:W3CDTF">2026-07-29T14:43:00Z</dcterms:modified>
  <cp:revision>15</cp:revision>
  <dc:subject/>
  <dc:title>成 品 分 析 报 告 单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