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nil"/>
        </w:pBdr>
        <w:tabs>
          <w:tab w:val="left" w:pos="306" w:leader="none"/>
        </w:tabs>
        <w:rPr>
          <w:rFonts w:hint="eastAsia"/>
          <w:b/>
          <w:caps/>
          <w:sz w:val="13"/>
          <w:szCs w:val="13"/>
          <w:lang w:val="en-US" w:eastAsia="en-US"/>
        </w:rPr>
      </w:pPr>
      <w:r>
        <w:rPr>
          <w:rFonts w:hint="eastAsia"/>
          <w:b/>
          <w:caps/>
          <w:sz w:val="13"/>
          <w:szCs w:val="13"/>
          <w:lang w:val="en-US" w:eastAsia="en-US"/>
        </w:rPr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1946910</wp:posOffset>
            </wp:positionH>
            <wp:positionV relativeFrom="paragraph">
              <wp:posOffset>-53340</wp:posOffset>
            </wp:positionV>
            <wp:extent cx="1600200" cy="170243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er"/>
        <w:pBdr>
          <w:bottom w:val="nil"/>
        </w:pBdr>
        <w:tabs>
          <w:tab w:val="left" w:pos="306" w:leader="none"/>
        </w:tabs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Certificate of Analysis</w:t>
      </w:r>
    </w:p>
    <w:p>
      <w:pPr>
        <w:pStyle w:val="Header"/>
        <w:pBdr>
          <w:bottom w:val="nil"/>
        </w:pBdr>
        <w:tabs>
          <w:tab w:val="left" w:pos="306" w:leader="none"/>
        </w:tabs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</w:r>
    </w:p>
    <w:tbl>
      <w:tblPr>
        <w:tblW w:w="109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8"/>
        <w:gridCol w:w="2215"/>
        <w:gridCol w:w="1970"/>
        <w:gridCol w:w="1665"/>
        <w:gridCol w:w="749"/>
        <w:gridCol w:w="2461"/>
      </w:tblGrid>
      <w:tr>
        <w:trPr>
          <w:trHeight w:val="422" w:hRule="atLeast"/>
        </w:trPr>
        <w:tc>
          <w:tcPr>
            <w:tcW w:w="1848" w:type="dxa"/>
            <w:tcBorders>
              <w:top w:val="doub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b/>
                <w:szCs w:val="21"/>
              </w:rPr>
              <w:t>Product Name</w:t>
            </w:r>
            <w:r>
              <w:rPr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doub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kern w:val="0"/>
                <w:szCs w:val="21"/>
              </w:rPr>
              <w:t>Metronidazole</w:t>
            </w:r>
          </w:p>
        </w:tc>
        <w:tc>
          <w:tcPr>
            <w:tcW w:w="2414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Packing</w:t>
            </w:r>
            <w:r>
              <w:rPr>
                <w:rFonts w:cs="SimSun;宋体" w:hint="eastAsia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hint="eastAsia"/>
                <w:b/>
                <w:szCs w:val="21"/>
              </w:rPr>
              <w:t>25 kg/drum</w:t>
            </w:r>
          </w:p>
        </w:tc>
      </w:tr>
      <w:tr>
        <w:trPr>
          <w:trHeight w:val="375" w:hRule="atLeast"/>
        </w:trPr>
        <w:tc>
          <w:tcPr>
            <w:tcW w:w="1848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/>
            </w:pPr>
            <w:r>
              <w:rPr>
                <w:b/>
                <w:szCs w:val="21"/>
              </w:rPr>
              <w:t>Batch N</w:t>
            </w:r>
            <w:r>
              <w:rPr>
                <w:rFonts w:hint="eastAsia"/>
                <w:b/>
                <w:szCs w:val="21"/>
              </w:rPr>
              <w:t>o</w:t>
            </w:r>
            <w:r>
              <w:rPr>
                <w:b/>
                <w:szCs w:val="21"/>
              </w:rPr>
              <w:t>.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0182605073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b/>
                <w:szCs w:val="21"/>
              </w:rPr>
              <w:t>Manufacturing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2026-05-07</w:t>
            </w:r>
          </w:p>
        </w:tc>
      </w:tr>
      <w:tr>
        <w:trPr/>
        <w:tc>
          <w:tcPr>
            <w:tcW w:w="18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 xml:space="preserve">Batch </w:t>
            </w:r>
            <w:r>
              <w:rPr>
                <w:b/>
                <w:szCs w:val="21"/>
              </w:rPr>
              <w:t>Quantity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  <w:highlight w:val="yellow"/>
              </w:rPr>
            </w:pPr>
            <w:r>
              <w:rPr>
                <w:b/>
                <w:szCs w:val="21"/>
              </w:rPr>
              <w:t>1124.05</w:t>
            </w:r>
            <w:r>
              <w:rPr>
                <w:rFonts w:hint="eastAsia"/>
                <w:b/>
                <w:szCs w:val="21"/>
              </w:rPr>
              <w:t xml:space="preserve"> kg</w:t>
            </w:r>
          </w:p>
        </w:tc>
        <w:tc>
          <w:tcPr>
            <w:tcW w:w="2414" w:type="dxa"/>
            <w:gridSpan w:val="2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Test</w:t>
            </w:r>
            <w:r>
              <w:rPr>
                <w:b/>
                <w:szCs w:val="21"/>
              </w:rPr>
              <w:t xml:space="preserve">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2026</w:t>
            </w:r>
            <w:r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05</w:t>
            </w:r>
            <w:r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09</w:t>
            </w:r>
          </w:p>
        </w:tc>
      </w:tr>
      <w:tr>
        <w:trPr/>
        <w:tc>
          <w:tcPr>
            <w:tcW w:w="1848" w:type="dxa"/>
            <w:tcBorders>
              <w:top w:val="single" w:sz="2" w:space="0" w:color="000000"/>
              <w:start w:val="single" w:sz="2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Storage</w:t>
            </w:r>
          </w:p>
        </w:tc>
        <w:tc>
          <w:tcPr>
            <w:tcW w:w="4185" w:type="dxa"/>
            <w:gridSpan w:val="2"/>
            <w:tcBorders>
              <w:top w:val="single" w:sz="2" w:space="0" w:color="000000"/>
              <w:start w:val="single" w:sz="2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Stored in closed container and protected from light</w:t>
            </w:r>
          </w:p>
        </w:tc>
        <w:tc>
          <w:tcPr>
            <w:tcW w:w="2414" w:type="dxa"/>
            <w:gridSpan w:val="2"/>
            <w:tcBorders>
              <w:top w:val="single" w:sz="2" w:space="0" w:color="000000"/>
              <w:start w:val="single" w:sz="4" w:space="0" w:color="000000"/>
              <w:bottom w:val="doub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Expire</w:t>
            </w:r>
            <w:r>
              <w:rPr>
                <w:b/>
                <w:szCs w:val="21"/>
              </w:rPr>
              <w:t xml:space="preserve">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2" w:space="0" w:color="000000"/>
              <w:start w:val="single" w:sz="4" w:space="0" w:color="000000"/>
              <w:bottom w:val="doub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2030</w:t>
            </w:r>
            <w:r>
              <w:rPr>
                <w:rFonts w:hint="eastAsia"/>
                <w:b/>
                <w:szCs w:val="21"/>
              </w:rPr>
              <w:t>.</w:t>
            </w:r>
            <w:r>
              <w:rPr>
                <w:b/>
                <w:szCs w:val="21"/>
              </w:rPr>
              <w:t>04</w:t>
            </w:r>
          </w:p>
        </w:tc>
      </w:tr>
      <w:tr>
        <w:trPr/>
        <w:tc>
          <w:tcPr>
            <w:tcW w:w="10908" w:type="dxa"/>
            <w:gridSpan w:val="6"/>
            <w:tcBorders>
              <w:top w:val="doub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cs="SimSun;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Test </w:t>
            </w:r>
            <w:r>
              <w:rPr>
                <w:rFonts w:hint="eastAsia"/>
                <w:sz w:val="18"/>
                <w:szCs w:val="18"/>
              </w:rPr>
              <w:t>Specification</w:t>
            </w:r>
            <w:r>
              <w:rPr>
                <w:rFonts w:cs="SimSun;宋体"/>
                <w:sz w:val="18"/>
                <w:szCs w:val="18"/>
              </w:rPr>
              <w:t>：</w:t>
            </w:r>
            <w:r>
              <w:rPr>
                <w:rFonts w:cs="SimSun;宋体" w:hint="eastAsia"/>
                <w:sz w:val="18"/>
                <w:szCs w:val="18"/>
              </w:rPr>
              <w:t xml:space="preserve"> </w:t>
            </w:r>
            <w:r>
              <w:rPr>
                <w:rFonts w:cs="SimSun;宋体" w:hint="eastAsia"/>
                <w:sz w:val="18"/>
                <w:szCs w:val="18"/>
              </w:rPr>
              <w:t>BP</w:t>
            </w:r>
            <w:r>
              <w:rPr>
                <w:rFonts w:cs="SimSun;宋体"/>
                <w:sz w:val="18"/>
                <w:szCs w:val="18"/>
              </w:rPr>
              <w:t>-USP</w:t>
            </w:r>
          </w:p>
        </w:tc>
      </w:tr>
      <w:tr>
        <w:trPr/>
        <w:tc>
          <w:tcPr>
            <w:tcW w:w="406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SimSun;宋体" w:hint="eastAsia"/>
                <w:b/>
                <w:sz w:val="18"/>
                <w:szCs w:val="18"/>
              </w:rPr>
              <w:t>Test</w:t>
            </w:r>
            <w:r>
              <w:rPr>
                <w:b/>
                <w:sz w:val="18"/>
                <w:szCs w:val="18"/>
              </w:rPr>
              <w:t xml:space="preserve"> Items</w:t>
            </w:r>
          </w:p>
        </w:tc>
        <w:tc>
          <w:tcPr>
            <w:tcW w:w="363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Acceptance criteria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b/>
                <w:sz w:val="18"/>
                <w:szCs w:val="18"/>
              </w:rPr>
              <w:t>Test</w:t>
            </w:r>
            <w:r>
              <w:rPr>
                <w:rFonts w:hint="eastAsia"/>
                <w:b/>
                <w:sz w:val="18"/>
                <w:szCs w:val="18"/>
              </w:rPr>
              <w:t>ed</w:t>
            </w:r>
            <w:r>
              <w:rPr>
                <w:b/>
                <w:sz w:val="18"/>
                <w:szCs w:val="18"/>
              </w:rPr>
              <w:t xml:space="preserve"> Results</w:t>
            </w:r>
          </w:p>
        </w:tc>
      </w:tr>
      <w:tr>
        <w:trPr/>
        <w:tc>
          <w:tcPr>
            <w:tcW w:w="406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Appearance</w:t>
            </w:r>
          </w:p>
        </w:tc>
        <w:tc>
          <w:tcPr>
            <w:tcW w:w="363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white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hint="eastAsia"/>
                <w:bCs/>
                <w:sz w:val="18"/>
                <w:szCs w:val="18"/>
              </w:rPr>
              <w:t>yellowish, crystalline</w:t>
            </w:r>
            <w:r>
              <w:rPr>
                <w:bCs/>
                <w:sz w:val="18"/>
                <w:szCs w:val="18"/>
              </w:rPr>
              <w:t xml:space="preserve"> powder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255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jc w:val="start"/>
              <w:rPr>
                <w:rFonts w:cs="SimSun;宋体" w:hint="eastAsia"/>
                <w:sz w:val="18"/>
                <w:szCs w:val="18"/>
              </w:rPr>
            </w:pPr>
            <w:r>
              <w:rPr>
                <w:rFonts w:cs="SimSun;宋体" w:hint="eastAsia"/>
                <w:sz w:val="18"/>
                <w:szCs w:val="18"/>
              </w:rPr>
              <w:t>Identification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cs="SimSun;宋体" w:hint="eastAsia"/>
                <w:sz w:val="18"/>
                <w:szCs w:val="18"/>
              </w:rPr>
            </w:pPr>
            <w:r>
              <w:rPr>
                <w:rFonts w:cs="SimSun;宋体" w:hint="eastAsia"/>
                <w:sz w:val="18"/>
                <w:szCs w:val="18"/>
              </w:rPr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063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jc w:val="end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Melting point(℃)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159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rFonts w:hint="eastAsia"/>
                <w:sz w:val="18"/>
                <w:szCs w:val="18"/>
              </w:rPr>
              <w:t>163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160.9~161.2</w:t>
            </w:r>
          </w:p>
        </w:tc>
      </w:tr>
      <w:tr>
        <w:trPr>
          <w:trHeight w:val="255" w:hRule="atLeast"/>
        </w:trPr>
        <w:tc>
          <w:tcPr>
            <w:tcW w:w="4063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450"/>
              <w:jc w:val="end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IR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The sample spectrum complies with that of the reference standard spectrum. 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255" w:hRule="atLeast"/>
        </w:trPr>
        <w:tc>
          <w:tcPr>
            <w:tcW w:w="4063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jc w:val="end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UV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The solution shows an absorption maximum at 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255" w:hRule="atLeast"/>
        </w:trPr>
        <w:tc>
          <w:tcPr>
            <w:tcW w:w="406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ind w:end="360"/>
              <w:jc w:val="end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tLeast" w:line="240"/>
              <w:ind w:end="360"/>
              <w:jc w:val="end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Reaction of primary aromatic amines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277nm, and a minimum at 240. The specific</w:t>
            </w:r>
            <w:r>
              <w:rPr/>
              <w:t xml:space="preserve"> </w:t>
            </w:r>
            <w:r>
              <w:rPr>
                <w:bCs/>
                <w:sz w:val="18"/>
                <w:szCs w:val="18"/>
              </w:rPr>
              <w:t xml:space="preserve">absorption at the maximum is 365 to 395. 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The sample solution gives the reaction of prima1y aromatic amines.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248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Related </w:t>
            </w:r>
            <w:r>
              <w:rPr>
                <w:color w:val="000000"/>
                <w:kern w:val="0"/>
                <w:sz w:val="18"/>
                <w:szCs w:val="18"/>
              </w:rPr>
              <w:t>Substances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(HPLC)</w:t>
            </w:r>
          </w:p>
          <w:p>
            <w:pPr>
              <w:pStyle w:val="Normal"/>
              <w:snapToGrid w:val="false"/>
              <w:spacing w:lineRule="atLeast" w:line="240"/>
              <w:jc w:val="end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Tindazole related compound A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0.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0.01</w:t>
            </w:r>
          </w:p>
        </w:tc>
      </w:tr>
      <w:tr>
        <w:trPr>
          <w:trHeight w:val="357" w:hRule="atLeast"/>
        </w:trPr>
        <w:tc>
          <w:tcPr>
            <w:tcW w:w="4063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end"/>
              <w:rPr/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Any </w:t>
            </w:r>
            <w:r>
              <w:rPr>
                <w:color w:val="000000"/>
                <w:kern w:val="0"/>
                <w:sz w:val="18"/>
                <w:szCs w:val="18"/>
              </w:rPr>
              <w:t>single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un</w:t>
            </w:r>
            <w:r>
              <w:rPr>
                <w:color w:val="000000"/>
                <w:kern w:val="0"/>
                <w:sz w:val="18"/>
                <w:szCs w:val="18"/>
              </w:rPr>
              <w:t>specified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im</w:t>
            </w:r>
            <w:r>
              <w:rPr>
                <w:color w:val="000000"/>
                <w:kern w:val="0"/>
                <w:sz w:val="18"/>
                <w:szCs w:val="18"/>
              </w:rPr>
              <w:t>purit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y,</w:t>
            </w:r>
            <w:r>
              <w:rPr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0.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color w:val="000000"/>
                <w:kern w:val="0"/>
                <w:sz w:val="18"/>
                <w:szCs w:val="18"/>
              </w:rPr>
              <w:t>02</w:t>
            </w:r>
          </w:p>
        </w:tc>
      </w:tr>
      <w:tr>
        <w:trPr>
          <w:trHeight w:val="257" w:hRule="atLeast"/>
        </w:trPr>
        <w:tc>
          <w:tcPr>
            <w:tcW w:w="406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end"/>
              <w:rPr/>
            </w:pPr>
            <w:r>
              <w:rPr>
                <w:color w:val="000000"/>
                <w:kern w:val="0"/>
                <w:sz w:val="18"/>
                <w:szCs w:val="18"/>
              </w:rPr>
              <w:t>Total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color w:val="000000"/>
                <w:kern w:val="0"/>
                <w:sz w:val="18"/>
                <w:szCs w:val="18"/>
              </w:rPr>
              <w:t>Impurities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,</w:t>
            </w:r>
            <w:r>
              <w:rPr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363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0.2</w:t>
            </w:r>
          </w:p>
        </w:tc>
        <w:tc>
          <w:tcPr>
            <w:tcW w:w="321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0.0</w:t>
            </w:r>
            <w:r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</w:tr>
      <w:tr>
        <w:trPr>
          <w:trHeight w:val="167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6"/>
              <w:jc w:val="start"/>
              <w:rPr>
                <w:rFonts w:hint="eastAsia"/>
                <w:sz w:val="18"/>
                <w:szCs w:val="18"/>
              </w:rPr>
            </w:pPr>
            <w:r>
              <w:rPr>
                <w:rFonts w:cs="SimSun;宋体" w:hint="eastAsia"/>
                <w:bCs/>
                <w:sz w:val="18"/>
                <w:szCs w:val="18"/>
              </w:rPr>
              <w:t>Loss on drying(%)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</w:tr>
      <w:tr>
        <w:trPr>
          <w:trHeight w:val="167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6"/>
              <w:jc w:val="start"/>
              <w:rPr>
                <w:rFonts w:cs="SimSun;宋体" w:hint="eastAsia"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Heavy metals(ppm)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360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start"/>
              <w:rPr>
                <w:rFonts w:cs="SimSun;宋体" w:hint="eastAsia"/>
                <w:sz w:val="18"/>
                <w:szCs w:val="18"/>
              </w:rPr>
            </w:pPr>
            <w:r>
              <w:rPr>
                <w:rFonts w:cs="SimSun;宋体"/>
                <w:bCs/>
                <w:sz w:val="18"/>
                <w:szCs w:val="18"/>
              </w:rPr>
              <w:t>Reside on ignition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0.0</w:t>
            </w:r>
            <w:r>
              <w:rPr>
                <w:color w:val="000000"/>
                <w:kern w:val="0"/>
                <w:sz w:val="18"/>
                <w:szCs w:val="18"/>
              </w:rPr>
              <w:t>6</w:t>
            </w:r>
          </w:p>
        </w:tc>
      </w:tr>
      <w:tr>
        <w:trPr>
          <w:trHeight w:val="104" w:hRule="atLeast"/>
        </w:trPr>
        <w:tc>
          <w:tcPr>
            <w:tcW w:w="406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start"/>
              <w:rPr>
                <w:rFonts w:cs="SimSun;宋体" w:hint="eastAsia"/>
                <w:sz w:val="18"/>
                <w:szCs w:val="18"/>
              </w:rPr>
            </w:pPr>
            <w:r>
              <w:rPr>
                <w:rFonts w:cs="SimSun;宋体"/>
                <w:sz w:val="18"/>
                <w:szCs w:val="18"/>
              </w:rPr>
              <w:t>Microbiology test(cfu/g)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aerobic microbial count (TAMC) should be no more than 10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 xml:space="preserve"> in 1 g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&lt;1x10</w:t>
            </w:r>
          </w:p>
        </w:tc>
      </w:tr>
      <w:tr>
        <w:trPr>
          <w:trHeight w:val="104" w:hRule="atLeast"/>
        </w:trPr>
        <w:tc>
          <w:tcPr>
            <w:tcW w:w="406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start"/>
              <w:rPr>
                <w:rFonts w:cs="SimSun;宋体"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cs="SimSun;宋体" w:hint="eastAsia"/>
                <w:color w:val="000000"/>
                <w:kern w:val="0"/>
                <w:sz w:val="18"/>
                <w:szCs w:val="18"/>
                <w:highlight w:val="yellow"/>
              </w:rPr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Yeasts/Moulds count (TYMC) should be no more than 10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 in 1 g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&lt;1x10</w:t>
            </w:r>
          </w:p>
        </w:tc>
      </w:tr>
      <w:tr>
        <w:trPr>
          <w:trHeight w:val="104" w:hRule="atLeast"/>
        </w:trPr>
        <w:tc>
          <w:tcPr>
            <w:tcW w:w="406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start"/>
              <w:rPr>
                <w:rFonts w:cs="SimSun;宋体"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cs="SimSun;宋体" w:hint="eastAsia"/>
                <w:color w:val="000000"/>
                <w:kern w:val="0"/>
                <w:sz w:val="18"/>
                <w:szCs w:val="18"/>
                <w:highlight w:val="yellow"/>
              </w:rPr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Absence of Escherichia coli in 1 g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N.D</w:t>
            </w:r>
          </w:p>
        </w:tc>
      </w:tr>
      <w:tr>
        <w:trPr>
          <w:trHeight w:val="195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Residual Solvents</w:t>
            </w:r>
          </w:p>
          <w:p>
            <w:pPr>
              <w:pStyle w:val="Normal"/>
              <w:spacing w:lineRule="atLeast" w:line="240"/>
              <w:ind w:end="450"/>
              <w:jc w:val="end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Methyl alcohol (ppm) </w:t>
            </w:r>
          </w:p>
          <w:p>
            <w:pPr>
              <w:pStyle w:val="Normal"/>
              <w:spacing w:lineRule="atLeast" w:line="240"/>
              <w:ind w:end="360"/>
              <w:jc w:val="end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Methyl formate (ppm) </w:t>
            </w:r>
          </w:p>
          <w:p>
            <w:pPr>
              <w:pStyle w:val="Normal"/>
              <w:spacing w:lineRule="atLeast" w:line="240"/>
              <w:ind w:end="450"/>
              <w:jc w:val="end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Ethylene oxide (ppm)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Cs/>
                <w:color w:val="000000"/>
                <w:kern w:val="0"/>
                <w:sz w:val="18"/>
                <w:szCs w:val="1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&lt;3000</w:t>
            </w:r>
          </w:p>
          <w:p>
            <w:pPr>
              <w:pStyle w:val="Normal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&lt;681</w:t>
            </w:r>
          </w:p>
          <w:p>
            <w:pPr>
              <w:pStyle w:val="Normal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&lt;1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27.77</w:t>
            </w:r>
          </w:p>
          <w:p>
            <w:pPr>
              <w:pStyle w:val="Normal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N.D</w:t>
            </w:r>
          </w:p>
          <w:p>
            <w:pPr>
              <w:pStyle w:val="Normal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N.D</w:t>
            </w:r>
          </w:p>
        </w:tc>
      </w:tr>
      <w:tr>
        <w:trPr>
          <w:trHeight w:val="195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Assay</w:t>
            </w:r>
            <w:r>
              <w:rPr>
                <w:sz w:val="18"/>
                <w:szCs w:val="18"/>
              </w:rPr>
              <w:t xml:space="preserve"> (calculated on the </w:t>
            </w:r>
            <w:r>
              <w:rPr>
                <w:rFonts w:hint="eastAsia"/>
                <w:sz w:val="18"/>
                <w:szCs w:val="18"/>
              </w:rPr>
              <w:t>dried substance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,%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99.0</w:t>
            </w:r>
            <w:r>
              <w:rPr>
                <w:color w:val="000000"/>
                <w:kern w:val="0"/>
                <w:sz w:val="18"/>
                <w:szCs w:val="18"/>
              </w:rPr>
              <w:t>～</w:t>
            </w:r>
            <w:r>
              <w:rPr>
                <w:color w:val="000000"/>
                <w:kern w:val="0"/>
                <w:sz w:val="18"/>
                <w:szCs w:val="18"/>
              </w:rPr>
              <w:t>101.0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99.</w:t>
            </w:r>
            <w:r>
              <w:rPr>
                <w:color w:val="000000"/>
                <w:kern w:val="0"/>
                <w:sz w:val="18"/>
                <w:szCs w:val="18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Bacterial endotoxin (EU/mg)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&lt;0.35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273" w:hRule="atLeast"/>
        </w:trPr>
        <w:tc>
          <w:tcPr>
            <w:tcW w:w="10908" w:type="dxa"/>
            <w:gridSpan w:val="6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ind w:firstLineChars="0" w:firstLine="0" w:startChars="-295" w:endChars="0" w:end="0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Note:     N.D indicates </w:t>
            </w: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Not detected</w:t>
            </w:r>
            <w:r>
              <w:rPr>
                <w:sz w:val="18"/>
                <w:szCs w:val="18"/>
              </w:rPr>
              <w:t>“</w:t>
            </w:r>
          </w:p>
        </w:tc>
      </w:tr>
    </w:tbl>
    <w:p>
      <w:pPr>
        <w:pStyle w:val="Normal"/>
        <w:ind w:firstLineChars="0" w:firstLine="0" w:startChars="-295" w:endChars="0" w:end="0"/>
        <w:rPr>
          <w:rFonts w:hint="eastAsia"/>
          <w:szCs w:val="21"/>
        </w:rPr>
      </w:pPr>
      <w:r>
        <w:rPr>
          <w:rFonts w:hint="eastAsia"/>
          <w:szCs w:val="21"/>
        </w:rPr>
      </w:r>
    </w:p>
    <w:tbl>
      <w:tblPr>
        <w:tblW w:w="10485" w:type="dxa"/>
        <w:jc w:val="start"/>
        <w:tblInd w:w="-98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85"/>
      </w:tblGrid>
      <w:tr>
        <w:trPr/>
        <w:tc>
          <w:tcPr>
            <w:tcW w:w="10485" w:type="dxa"/>
            <w:tcBorders/>
          </w:tcPr>
          <w:p>
            <w:pPr>
              <w:pStyle w:val="Normal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Cs w:val="21"/>
              </w:rPr>
              <w:t>Conclusion: This batch of metronidazole complies with the requirement of the specifications above.</w:t>
            </w:r>
          </w:p>
        </w:tc>
      </w:tr>
    </w:tbl>
    <w:p>
      <w:pPr>
        <w:pStyle w:val="Normal"/>
        <w:rPr>
          <w:rFonts w:hint="eastAsia"/>
          <w:szCs w:val="21"/>
          <w:lang w:val="en-US" w:eastAsia="en-US"/>
        </w:rPr>
      </w:pPr>
      <w:r>
        <w:rPr>
          <w:rFonts w:hint="eastAsia"/>
          <w:szCs w:val="21"/>
          <w:lang w:val="en-US" w:eastAsia="en-US"/>
        </w:rPr>
        <w:drawing>
          <wp:anchor distT="0" distB="0" distL="114935" distR="114935" simplePos="0" relativeHeight="5" behindDoc="1" locked="0" layoutInCell="1" allowOverlap="1">
            <wp:simplePos x="0" y="0"/>
            <wp:positionH relativeFrom="column">
              <wp:posOffset>4541520</wp:posOffset>
            </wp:positionH>
            <wp:positionV relativeFrom="paragraph">
              <wp:posOffset>59690</wp:posOffset>
            </wp:positionV>
            <wp:extent cx="1577975" cy="63436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25" r="-10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7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90170</wp:posOffset>
            </wp:positionV>
            <wp:extent cx="1424940" cy="372745"/>
            <wp:effectExtent l="0" t="0" r="0" b="0"/>
            <wp:wrapNone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59" r="-15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7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0560" w:type="dxa"/>
        <w:jc w:val="start"/>
        <w:tblInd w:w="-98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0"/>
        <w:gridCol w:w="3520"/>
        <w:gridCol w:w="3520"/>
      </w:tblGrid>
      <w:tr>
        <w:trPr/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  <w:sz w:val="18"/>
                <w:szCs w:val="18"/>
              </w:rPr>
              <w:t>Report</w:t>
            </w:r>
            <w:r>
              <w:rPr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>r/Date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drawing>
                <wp:anchor distT="0" distB="0" distL="114935" distR="114935" simplePos="0" relativeHeight="6" behindDoc="1" locked="0" layoutInCell="1" allowOverlap="1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113030</wp:posOffset>
                  </wp:positionV>
                  <wp:extent cx="1648460" cy="459740"/>
                  <wp:effectExtent l="0" t="0" r="0" b="0"/>
                  <wp:wrapNone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4" t="-50" r="-14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460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18"/>
                <w:szCs w:val="18"/>
              </w:rPr>
              <w:t>Reviewer/Date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  <w:sz w:val="18"/>
                <w:szCs w:val="18"/>
              </w:rPr>
              <w:t>QA Head/Date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1177" w:leader="none"/>
        </w:tabs>
        <w:jc w:val="start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851" w:top="1440" w:footer="55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  <w:t>Edition: G0</w:t>
    </w:r>
    <w:r>
      <w:rPr/>
      <w:t>3</w:t>
    </w:r>
    <w:r>
      <w:rPr>
        <w:rFonts w:hint="eastAsia"/>
      </w:rPr>
      <w:t>-V0</w:t>
    </w:r>
    <w:r>
      <w:rPr/>
      <w:t>4</w:t>
    </w:r>
  </w:p>
  <w:p>
    <w:pPr>
      <w:pStyle w:val="Footer"/>
      <w:rPr>
        <w:rFonts w:hint="eastAsia"/>
      </w:rPr>
    </w:pPr>
    <w:r>
      <w:rPr>
        <w:rFonts w:hint="eastAsia"/>
      </w:rPr>
      <w:t>Manufacture Address: No. 8, Fengshan Road, Industrial and Economic development Zone, Luotian County, Huanggang City, Hubei Province, China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start"/>
      <w:rPr>
        <w:rFonts w:ascii="Arial" w:hAnsi="Arial" w:cs="Arial" w:hint="eastAsia"/>
        <w:color w:val="000000"/>
        <w:sz w:val="24"/>
      </w:rPr>
    </w:pPr>
    <w:r>
      <w:rPr>
        <w:rFonts w:cs="Arial" w:hint="eastAsia" w:ascii="Arial" w:hAnsi="Arial"/>
        <w:color w:val="000000"/>
        <w:sz w:val="24"/>
      </w:rPr>
      <w:drawing>
        <wp:inline distT="0" distB="0" distL="0" distR="0">
          <wp:extent cx="3232785" cy="428625"/>
          <wp:effectExtent l="0" t="0" r="0" b="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52" r="-7" b="-52"/>
                  <a:stretch>
                    <a:fillRect/>
                  </a:stretch>
                </pic:blipFill>
                <pic:spPr bwMode="auto">
                  <a:xfrm>
                    <a:off x="0" y="0"/>
                    <a:ext cx="323278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SimSun;宋体" w:cs="Times New Roman"/>
      <w:color w:val="auto"/>
      <w:kern w:val="2"/>
      <w:sz w:val="21"/>
      <w:szCs w:val="24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2018-03-22T15:43:00Z</dcterms:created>
  <dc:creator>User</dc:creator>
  <dc:description/>
  <cp:keywords/>
  <dc:language>en-US</dc:language>
  <cp:lastModifiedBy>Api3</cp:lastModifiedBy>
  <cp:lastPrinted>2026-05-19T15:40:00Z</cp:lastPrinted>
  <dcterms:modified xsi:type="dcterms:W3CDTF">2026-07-19T10:47:00Z</dcterms:modified>
  <cp:revision>12</cp:revision>
  <dc:subject/>
  <dc:title>成 品 分 析 报 告 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