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26"/>
          <w:szCs w:val="26"/>
        </w:rPr>
        <w:t xml:space="preserve">Pre-Session Decision Worksheet — Weeks 2 and 3</w:t>
      </w:r>
    </w:p>
    <w:p>
      <w:pPr>
        <w:spacing w:before="0" w:after="40"/>
      </w:pPr>
      <w:r>
        <w:rPr>
          <w:rFonts w:ascii="Arial" w:cs="Arial" w:eastAsia="Arial" w:hAnsi="Arial"/>
          <w:sz w:val="16"/>
          <w:szCs w:val="16"/>
        </w:rPr>
        <w:t xml:space="preserve">Sedat AKEL (253031070002) · Project 2, Modules without magnitude · EDA Workstream B</w:t>
      </w:r>
    </w:p>
    <w:p>
      <w:pPr>
        <w:spacing w:before="0" w:after="100"/>
      </w:pPr>
      <w:r>
        <w:rPr>
          <w:rFonts w:ascii="Arial" w:cs="Arial" w:eastAsia="Arial" w:hAnsi="Arial"/>
          <w:sz w:val="14"/>
          <w:szCs w:val="14"/>
        </w:rPr>
        <w:t xml:space="preserve">Data: FAFB 783, annotations v3.2.0, Buhmann; MaleCNS v1.0, Traced, confidence ≥ 0.5 (brain part = in_brain). Numbers from my own cache; B-references are items of my EDA report (reports/eda_B.md).</w:t>
      </w:r>
    </w:p>
    <w:tbl>
      <w:tblPr>
        <w:tblW w:type="dxa" w:w="150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950"/>
        <w:gridCol w:w="3700"/>
        <w:gridCol w:w="6850"/>
      </w:tblGrid>
      <w:tr>
        <w:trPr>
          <w:cantSplit/>
          <w:tblHeader/>
        </w:trPr>
        <w:tc>
          <w:tcPr>
            <w:tcW w:type="dxa" w:w="500"/>
            <w:tcBorders>
              <w:top w:val="single" w:color="999999" w:sz="4"/>
              <w:left w:val="single" w:color="999999" w:sz="4"/>
              <w:bottom w:val="single" w:color="999999" w:sz="4"/>
              <w:right w:val="single" w:color="999999" w:sz="4"/>
            </w:tcBorders>
            <w:shd w:fill="E7E6E6" w:color="auto" w:val="clear"/>
            <w:tcMar>
              <w:top w:type="dxa" w:w="30"/>
              <w:left w:type="dxa" w:w="60"/>
              <w:bottom w:type="dxa" w:w="30"/>
              <w:right w:type="dxa" w:w="60"/>
            </w:tcMar>
          </w:tcPr>
          <w:p>
            <w:pPr>
              <w:spacing w:after="0"/>
            </w:pPr>
            <w:r>
              <w:rPr>
                <w:rFonts w:ascii="Arial" w:cs="Arial" w:eastAsia="Arial" w:hAnsi="Arial"/>
                <w:b/>
                <w:bCs/>
                <w:sz w:val="14"/>
                <w:szCs w:val="14"/>
              </w:rPr>
              <w:t xml:space="preserve">Item</w:t>
            </w:r>
          </w:p>
        </w:tc>
        <w:tc>
          <w:tcPr>
            <w:tcW w:type="dxa" w:w="3000"/>
            <w:tcBorders>
              <w:top w:val="single" w:color="999999" w:sz="4"/>
              <w:left w:val="single" w:color="999999" w:sz="4"/>
              <w:bottom w:val="single" w:color="999999" w:sz="4"/>
              <w:right w:val="single" w:color="999999" w:sz="4"/>
            </w:tcBorders>
            <w:shd w:fill="E7E6E6" w:color="auto" w:val="clear"/>
            <w:tcMar>
              <w:top w:type="dxa" w:w="30"/>
              <w:left w:type="dxa" w:w="60"/>
              <w:bottom w:type="dxa" w:w="30"/>
              <w:right w:type="dxa" w:w="60"/>
            </w:tcMar>
          </w:tcPr>
          <w:p>
            <w:pPr>
              <w:spacing w:after="0"/>
            </w:pPr>
            <w:r>
              <w:rPr>
                <w:rFonts w:ascii="Arial" w:cs="Arial" w:eastAsia="Arial" w:hAnsi="Arial"/>
                <w:b/>
                <w:bCs/>
                <w:sz w:val="14"/>
                <w:szCs w:val="14"/>
              </w:rPr>
              <w:t xml:space="preserve">My answer</w:t>
            </w:r>
          </w:p>
        </w:tc>
        <w:tc>
          <w:tcPr>
            <w:tcW w:type="dxa" w:w="950"/>
            <w:tcBorders>
              <w:top w:val="single" w:color="999999" w:sz="4"/>
              <w:left w:val="single" w:color="999999" w:sz="4"/>
              <w:bottom w:val="single" w:color="999999" w:sz="4"/>
              <w:right w:val="single" w:color="999999" w:sz="4"/>
            </w:tcBorders>
            <w:shd w:fill="E7E6E6" w:color="auto" w:val="clear"/>
            <w:tcMar>
              <w:top w:type="dxa" w:w="30"/>
              <w:left w:type="dxa" w:w="60"/>
              <w:bottom w:type="dxa" w:w="30"/>
              <w:right w:type="dxa" w:w="60"/>
            </w:tcMar>
          </w:tcPr>
          <w:p>
            <w:pPr>
              <w:spacing w:after="0"/>
            </w:pPr>
            <w:r>
              <w:rPr>
                <w:rFonts w:ascii="Arial" w:cs="Arial" w:eastAsia="Arial" w:hAnsi="Arial"/>
                <w:b/>
                <w:bCs/>
                <w:sz w:val="14"/>
                <w:szCs w:val="14"/>
              </w:rPr>
              <w:t xml:space="preserve">Confidence</w:t>
            </w:r>
          </w:p>
        </w:tc>
        <w:tc>
          <w:tcPr>
            <w:tcW w:type="dxa" w:w="3700"/>
            <w:tcBorders>
              <w:top w:val="single" w:color="999999" w:sz="4"/>
              <w:left w:val="single" w:color="999999" w:sz="4"/>
              <w:bottom w:val="single" w:color="999999" w:sz="4"/>
              <w:right w:val="single" w:color="999999" w:sz="4"/>
            </w:tcBorders>
            <w:shd w:fill="E7E6E6" w:color="auto" w:val="clear"/>
            <w:tcMar>
              <w:top w:type="dxa" w:w="30"/>
              <w:left w:type="dxa" w:w="60"/>
              <w:bottom w:type="dxa" w:w="30"/>
              <w:right w:type="dxa" w:w="60"/>
            </w:tcMar>
          </w:tcPr>
          <w:p>
            <w:pPr>
              <w:spacing w:after="0"/>
            </w:pPr>
            <w:r>
              <w:rPr>
                <w:rFonts w:ascii="Arial" w:cs="Arial" w:eastAsia="Arial" w:hAnsi="Arial"/>
                <w:b/>
                <w:bCs/>
                <w:sz w:val="14"/>
                <w:szCs w:val="14"/>
              </w:rPr>
              <w:t xml:space="preserve">Reason</w:t>
            </w:r>
          </w:p>
        </w:tc>
        <w:tc>
          <w:tcPr>
            <w:tcW w:type="dxa" w:w="6850"/>
            <w:tcBorders>
              <w:top w:val="single" w:color="999999" w:sz="4"/>
              <w:left w:val="single" w:color="999999" w:sz="4"/>
              <w:bottom w:val="single" w:color="999999" w:sz="4"/>
              <w:right w:val="single" w:color="999999" w:sz="4"/>
            </w:tcBorders>
            <w:shd w:fill="E7E6E6" w:color="auto" w:val="clear"/>
            <w:tcMar>
              <w:top w:type="dxa" w:w="30"/>
              <w:left w:type="dxa" w:w="60"/>
              <w:bottom w:type="dxa" w:w="30"/>
              <w:right w:type="dxa" w:w="60"/>
            </w:tcMar>
          </w:tcPr>
          <w:p>
            <w:pPr>
              <w:spacing w:after="0"/>
            </w:pPr>
            <w:r>
              <w:rPr>
                <w:rFonts w:ascii="Arial" w:cs="Arial" w:eastAsia="Arial" w:hAnsi="Arial"/>
                <w:b/>
                <w:bCs/>
                <w:sz w:val="14"/>
                <w:szCs w:val="14"/>
              </w:rPr>
              <w:t xml:space="preserve">Evidence</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bCs/>
                <w:sz w:val="14"/>
                <w:szCs w:val="14"/>
              </w:rPr>
              <w:t xml:space="preserve">D1</w:t>
            </w:r>
          </w:p>
        </w:tc>
        <w:tc>
          <w:tcPr>
            <w:tcW w:type="dxa" w:w="30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The 20 stored + 2 derived columns. Carry cell_class, cell_sub_class and Ito-Lee hemilineage; drop Hartenstein/Truman.</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strong</w:t>
            </w:r>
          </w:p>
        </w:tc>
        <w:tc>
          <w:tcPr>
            <w:tcW w:type="dxa" w:w="37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Project 2 validates clusters against labels not built from connectivity (hemilineage, class); a column one dataset lacks is simply null there.</w:t>
            </w:r>
          </w:p>
        </w:tc>
        <w:tc>
          <w:tcPr>
            <w:tcW w:type="dxa" w:w="68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Source columns: FAFB 31, MaleCNS 36 (Appendix A1). Hemilineage missing: FAFB 101,720 (73.0%), MaleCNS 127,377 (77.1%).</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bCs/>
                <w:sz w:val="14"/>
                <w:szCs w:val="14"/>
              </w:rPr>
              <w:t xml:space="preserve">D2</w:t>
            </w:r>
          </w:p>
        </w:tc>
        <w:tc>
          <w:tcPr>
            <w:tcW w:type="dxa" w:w="30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neuron_id int64; key (neuron_id, dataset).</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strong</w:t>
            </w:r>
          </w:p>
        </w:tc>
        <w:tc>
          <w:tcPr>
            <w:tcW w:type="dxa" w:w="37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FAFB root ids exceed 2^53, so a float round-trip merges neurons; strings break numeric joins and sorting.</w:t>
            </w:r>
          </w:p>
        </w:tc>
        <w:tc>
          <w:tcPr>
            <w:tcW w:type="dxa" w:w="68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Largest id 720,575,940,661,339,777 becomes …776 as float64; the round-trip merges 28,597 FAFB ids.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bCs/>
                <w:sz w:val="14"/>
                <w:szCs w:val="14"/>
              </w:rPr>
              <w:t xml:space="preserve">D3</w:t>
            </w:r>
          </w:p>
        </w:tc>
        <w:tc>
          <w:tcPr>
            <w:tcW w:type="dxa" w:w="30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left, right, center, unknown. MaleCNS: somaSide, else rootSide. Undeterminable → unknown (not null, not excluded).</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strong</w:t>
            </w:r>
          </w:p>
        </w:tc>
        <w:tc>
          <w:tcPr>
            <w:tcW w:type="dxa" w:w="37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Excluding drops sensory neurons whose soma lies outside the volume; unknown stays counted in groupby.</w:t>
            </w:r>
          </w:p>
        </w:tc>
        <w:tc>
          <w:tcPr>
            <w:tcW w:type="dxa" w:w="68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FAFB L 69,956 / R 69,088 / C 174 / U 44. MaleCNS L 81,362 / R 82,738 / C 392 / U 630.</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bCs/>
                <w:sz w:val="14"/>
                <w:szCs w:val="14"/>
              </w:rPr>
              <w:t xml:space="preserve">D4</w:t>
            </w:r>
          </w:p>
        </w:tc>
        <w:tc>
          <w:tcPr>
            <w:tcW w:type="dxa" w:w="30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Full names incl. histamine; missing → unknown; keep confidence; no cutoff at fetch.</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strong</w:t>
            </w:r>
          </w:p>
        </w:tc>
        <w:tc>
          <w:tcPr>
            <w:tcW w:type="dxa" w:w="37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Confidence scales differ, so one cutoff removes very different shares of the two datasets.</w:t>
            </w:r>
          </w:p>
        </w:tc>
        <w:tc>
          <w:tcPr>
            <w:tcW w:type="dxa" w:w="68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Median confidence FAFB 0.686 vs MaleCNS 0.937 (10th pct 0.448 vs 0.754). unknown: 616 / 14,867.</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bCs/>
                <w:sz w:val="14"/>
                <w:szCs w:val="14"/>
              </w:rPr>
              <w:t xml:space="preserve">D5</w:t>
            </w:r>
          </w:p>
        </w:tc>
        <w:tc>
          <w:tcPr>
            <w:tcW w:type="dxa" w:w="30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Ids and provenance never null; closed vocabularies use unknown; free-text labels nullable.</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strong</w:t>
            </w:r>
          </w:p>
        </w:tc>
        <w:tc>
          <w:tcPr>
            <w:tcW w:type="dxa" w:w="37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pandas drops NaN silently in groupby; unknown is counted and must be excluded on purpose.</w:t>
            </w:r>
          </w:p>
        </w:tc>
        <w:tc>
          <w:tcPr>
            <w:tcW w:type="dxa" w:w="68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Nulls: cell_type 1,542 / 2,605; region unknown 623 / 338; side unknown 44 / 630 (Appendix A3).</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bCs/>
                <w:sz w:val="14"/>
                <w:szCs w:val="14"/>
              </w:rPr>
              <w:t xml:space="preserve">D6</w:t>
            </w:r>
          </w:p>
        </w:tc>
        <w:tc>
          <w:tcPr>
            <w:tcW w:type="dxa" w:w="30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FAFB 783 + annotations v3.2.0 + Buhmann; MaleCNS v1.0, Traced, synapse confidence ≥ 0.5.</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strong</w:t>
            </w:r>
          </w:p>
        </w:tc>
        <w:tc>
          <w:tcPr>
            <w:tcW w:type="dxa" w:w="37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The 10-synapse reproducibility figure was measured on Buhmann synapses (Schlegel et al., 2024).</w:t>
            </w:r>
          </w:p>
        </w:tc>
        <w:tc>
          <w:tcPr>
            <w:tcW w:type="dxa" w:w="68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FAFB edges ≥ 5: 2,700,513 (= published). Neurons 139,262 / 165,122.</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bCs/>
                <w:sz w:val="14"/>
                <w:szCs w:val="14"/>
              </w:rPr>
              <w:t xml:space="preserve">D7</w:t>
            </w:r>
          </w:p>
        </w:tc>
        <w:tc>
          <w:tcPr>
            <w:tcW w:type="dxa" w:w="30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{dataset}_{table}_{release}_{source}[_min{N}][_conf{X}].parquet in each repo's data/cache/.</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strong</w:t>
            </w:r>
          </w:p>
        </w:tc>
        <w:tc>
          <w:tcPr>
            <w:tcW w:type="dxa" w:w="37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Files with different content never share a name.</w:t>
            </w:r>
          </w:p>
        </w:tc>
        <w:tc>
          <w:tcPr>
            <w:tcW w:type="dxa" w:w="68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fafb_edges_783_buhmann_min5.parquet</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bCs/>
                <w:sz w:val="14"/>
                <w:szCs w:val="14"/>
              </w:rPr>
              <w:t xml:space="preserve">D8</w:t>
            </w:r>
          </w:p>
        </w:tc>
        <w:tc>
          <w:tcPr>
            <w:tcW w:type="dxa" w:w="30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Sum synapses over neuropils, then threshold; drop self-connections and log the count.</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strong</w:t>
            </w:r>
          </w:p>
        </w:tc>
        <w:tc>
          <w:tcPr>
            <w:tcW w:type="dxa" w:w="37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A threshold applies to a neuron pair, not to a neuropil.</w:t>
            </w:r>
          </w:p>
        </w:tc>
        <w:tc>
          <w:tcPr>
            <w:tcW w:type="dxa" w:w="68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Per-neuropil rows → pairs: FAFB 16,847,997 → 15,091,983; MaleCNS 29,436,294 → 25,563,096. Self-connections: FAFB 0, MaleCNS 101.</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bCs/>
                <w:sz w:val="14"/>
                <w:szCs w:val="14"/>
              </w:rPr>
              <w:t xml:space="preserve">D9</w:t>
            </w:r>
          </w:p>
        </w:tc>
        <w:tc>
          <w:tcPr>
            <w:tcW w:type="dxa" w:w="30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Cache at 1 synapse; apply every threshold in memory.</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strong</w:t>
            </w:r>
          </w:p>
        </w:tc>
        <w:tc>
          <w:tcPr>
            <w:tcW w:type="dxa" w:w="37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Bulk files are unthresholded, so a higher fetch threshold saves no download time; τ = 1 costs only ~4× the disk.</w:t>
            </w:r>
          </w:p>
        </w:tc>
        <w:tc>
          <w:tcPr>
            <w:tcW w:type="dxa" w:w="68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τ = 1: FAFB 15,091,983 rows, 95.7 MB; MaleCNS 25,563,096 rows, 189.5 MB, 20 s. τ = 5: 2,700,513 rows, 18.2 MB / 6,235,649 rows, 45.8 MB, filtered in memory in &lt; 1 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bCs/>
                <w:sz w:val="14"/>
                <w:szCs w:val="14"/>
              </w:rPr>
              <w:t xml:space="preserve">D10</w:t>
            </w:r>
          </w:p>
        </w:tc>
        <w:tc>
          <w:tcPr>
            <w:tcW w:type="dxa" w:w="30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10 synapses, absolute. A connection below threshold is unknown, not absent.</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weak</w:t>
            </w:r>
          </w:p>
        </w:tc>
        <w:tc>
          <w:tcPr>
            <w:tcW w:type="dxa" w:w="37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Above 10 synapses edges reproduce across hemispheres &gt; 90% of the time, and the central graph stays usable.</w:t>
            </w:r>
          </w:p>
        </w:tc>
        <w:tc>
          <w:tcPr>
            <w:tcW w:type="dxa" w:w="68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Central, τ = 10: isolated 4,916 (11.0%) FAFB / 717 (1.6%) MaleCNS; median in/out degree 4/5 vs 9/13; 54% / 61% of synapses kept. 56% of left–right type pairs differ by &gt; 30% (B5).</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bCs/>
                <w:sz w:val="14"/>
                <w:szCs w:val="14"/>
              </w:rPr>
              <w:t xml:space="preserve">D11</w:t>
            </w:r>
          </w:p>
        </w:tc>
        <w:tc>
          <w:tcPr>
            <w:tcW w:type="dxa" w:w="30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 synapse (permissive) and 2.6% of input (strict).</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strong</w:t>
            </w:r>
          </w:p>
        </w:tc>
        <w:tc>
          <w:tcPr>
            <w:tcW w:type="dxa" w:w="37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One bound on each side of the default, each with a published persistence (42% and 99%), not arbitrary values.</w:t>
            </w:r>
          </w:p>
        </w:tc>
        <w:tc>
          <w:tcPr>
            <w:tcW w:type="dxa" w:w="68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FAFB central: τ = 1 isolates 625 (1.4%); 2.6% isolates 1,457 (3.3%) and keeps 5.0% of edges, 22.4% of synapses.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bCs/>
                <w:sz w:val="14"/>
                <w:szCs w:val="14"/>
              </w:rPr>
              <w:t xml:space="preserve">D12</w:t>
            </w:r>
          </w:p>
        </w:tc>
        <w:tc>
          <w:tcPr>
            <w:tcW w:type="dxa" w:w="30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Relative primary for cross-dataset claims; absolute within one dataset.</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weak</w:t>
            </w:r>
          </w:p>
        </w:tc>
        <w:tc>
          <w:tcPr>
            <w:tcW w:type="dxa" w:w="37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Absolute counts carry a pipeline offset between datasets, and the two criteria are far from interchangeable.</w:t>
            </w:r>
          </w:p>
        </w:tc>
        <w:tc>
          <w:tcPr>
            <w:tcW w:type="dxa" w:w="68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Central, ≥ 10 syn vs ≥ 0.9%: disagree on 74% (FAFB) / 67% (MaleCNS) of edges passing either; FAFB 206k count-only, 685k share-only, 315k both. Type-pair weights ×1.5 in MaleCNS (B6).</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bCs/>
                <w:sz w:val="14"/>
                <w:szCs w:val="14"/>
              </w:rPr>
              <w:t xml:space="preserve">D13</w:t>
            </w:r>
          </w:p>
        </w:tc>
        <w:tc>
          <w:tcPr>
            <w:tcW w:type="dxa" w:w="30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Flag. Boolean is_optic, plus a numeric optic_syn_share column for boundary checks.</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weak</w:t>
            </w:r>
          </w:p>
        </w:tc>
        <w:tc>
          <w:tcPr>
            <w:tcW w:type="dxa" w:w="37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The ambiguous group is about 4%, small enough for a boolean; the share column lets any project test the boundary.</w:t>
            </w:r>
          </w:p>
        </w:tc>
        <w:tc>
          <w:tcPr>
            <w:tcW w:type="dxa" w:w="68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is_optic: FAFB 68.1%, MaleCNS brain 69.3%. 20–80% of synapses in optic lobe: 5,967 (4.3%) / 6,418 (4.5%).</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bCs/>
                <w:sz w:val="14"/>
                <w:szCs w:val="14"/>
              </w:rPr>
              <w:t xml:space="preserve">D14</w:t>
            </w:r>
          </w:p>
        </w:tc>
        <w:tc>
          <w:tcPr>
            <w:tcW w:type="dxa" w:w="30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Central brain for whole-brain claims; optic lobes reported separately.</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strong</w:t>
            </w:r>
          </w:p>
        </w:tc>
        <w:tc>
          <w:tcPr>
            <w:tcW w:type="dxa" w:w="37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In Project 2, clustering all neurons would mostly recover repeated columnar types rather than modules.</w:t>
            </w:r>
          </w:p>
        </w:tc>
        <w:tc>
          <w:tcPr>
            <w:tcW w:type="dxa" w:w="68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FAFB: 91% of optic neurons (86,248 / 94,768) are in types with ≥ 100 members vs 19% (8,313 / 44,494) of central. Size–PC1 ρ: 0.89 all vs 0.86 central.</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bCs/>
                <w:sz w:val="14"/>
                <w:szCs w:val="14"/>
              </w:rPr>
              <w:t xml:space="preserve">D15</w:t>
            </w:r>
          </w:p>
        </w:tc>
        <w:tc>
          <w:tcPr>
            <w:tcW w:type="dxa" w:w="30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Most synapses (inputs + outputs), counted per connection; ties → alphabetically first. MaleCNS: roiInfo upstream + downstream.</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weak</w:t>
            </w:r>
          </w:p>
        </w:tc>
        <w:tc>
          <w:tcPr>
            <w:tcW w:type="dxa" w:w="37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Same unit in both brains: FAFB edgeroi counts connections (Guide §1); pre + post counts release sites, which FAFB lacks.</w:t>
            </w:r>
          </w:p>
        </w:tc>
        <w:tc>
          <w:tcPr>
            <w:tcW w:type="dxa" w:w="68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Top two neuropils within 10%: 9,543 (6.9%) FAFB / 7,916 (5.5%) MaleCNS brain; exact ties 319 / 73.</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bCs/>
                <w:sz w:val="14"/>
                <w:szCs w:val="14"/>
              </w:rPr>
              <w:t xml:space="preserve">D16</w:t>
            </w:r>
          </w:p>
        </w:tc>
        <w:tc>
          <w:tcPr>
            <w:tcW w:type="dxa" w:w="30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Degrees and totals → 0; ratio features (per-partner, entropy, fractions) → null; never drop rows.</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weak</w:t>
            </w:r>
          </w:p>
        </w:tc>
        <w:tc>
          <w:tcPr>
            <w:tcW w:type="dxa" w:w="37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A zero degree is an observation at τ; a ratio over zero partners is undefined.</w:t>
            </w:r>
          </w:p>
        </w:tc>
        <w:tc>
          <w:tcPr>
            <w:tcW w:type="dxa" w:w="68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τ = 10, central: zero-in 9,211, zero-out 7,020, both 4,881 of 44,494 (FAFB); 3,028 / 1,199 / 709 of 43,623 (MaleCNS).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bCs/>
                <w:sz w:val="14"/>
                <w:szCs w:val="14"/>
              </w:rPr>
              <w:t xml:space="preserve">D17</w:t>
            </w:r>
          </w:p>
        </w:tc>
        <w:tc>
          <w:tcPr>
            <w:tcW w:type="dxa" w:w="30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Sum to one, computed before thresholding (τ = 1); null for a neuron with no synapses.</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weak</w:t>
            </w:r>
          </w:p>
        </w:tc>
        <w:tc>
          <w:tcPr>
            <w:tcW w:type="dxa" w:w="37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The denominator is total_in_syn at τ = 1, fixed once; thresholding would change it.</w:t>
            </w:r>
          </w:p>
        </w:tc>
        <w:tc>
          <w:tcPr>
            <w:tcW w:type="dxa" w:w="68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By hand: A gets 6 MB + 4 LH → 0.6 / 0.4; B gets 3 AL → 1.0; C gets none → null. FAFB central with no input synapses: 725.</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bCs/>
                <w:sz w:val="14"/>
                <w:szCs w:val="14"/>
              </w:rPr>
              <w:t xml:space="preserve">D18</w:t>
            </w:r>
          </w:p>
        </w:tc>
        <w:tc>
          <w:tcPr>
            <w:tcW w:type="dxa" w:w="30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Pair by cell_type across left/right; with unequal counts, pair min(L, R); untyped, center and unknown stay unpaired.</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weak</w:t>
            </w:r>
          </w:p>
        </w:tc>
        <w:tc>
          <w:tcPr>
            <w:tcW w:type="dxa" w:w="37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Type labels are the best cross-hemisphere identity; failure cases are named, not hidden.</w:t>
            </w:r>
          </w:p>
        </w:tc>
        <w:tc>
          <w:tcPr>
            <w:tcW w:type="dxa" w:w="68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FAFB: 132,604 paired (95.2%). Unpaired: 4,997 from unequal L/R in 2,064 types, 1,542 untyped, 119 center/unknown. Likely reason: proofreading gaps and real asymmetry.</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bCs/>
                <w:sz w:val="14"/>
                <w:szCs w:val="14"/>
              </w:rPr>
              <w:t xml:space="preserve">D19</w:t>
            </w:r>
          </w:p>
        </w:tc>
        <w:tc>
          <w:tcPr>
            <w:tcW w:type="dxa" w:w="30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Degree/volume, region fractions, diversity, identity, homologue_group. Add raw per-neuropil counts in_&lt;np&gt; / out_&lt;np&gt;.</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weak</w:t>
            </w:r>
          </w:p>
        </w:tc>
        <w:tc>
          <w:tcPr>
            <w:tcW w:type="dxa" w:w="37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Project 2 cannot do without frac_in/out_&lt;np&gt; (normalised), total_in/out_syn and raw per-neuropil counts.</w:t>
            </w:r>
          </w:p>
        </w:tc>
        <w:tc>
          <w:tcPr>
            <w:tcW w:type="dxa" w:w="68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Raw table: 43,871 neurons × 162 columns; PC1–size ρ = 0.86, 0.00 after row normalisation (B7).</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bCs/>
                <w:sz w:val="14"/>
                <w:szCs w:val="14"/>
              </w:rPr>
              <w:t xml:space="preserve">D20</w:t>
            </w:r>
          </w:p>
        </w:tc>
        <w:tc>
          <w:tcPr>
            <w:tcW w:type="dxa" w:w="30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No position (Project 3).</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open</w:t>
            </w:r>
          </w:p>
        </w:tc>
        <w:tc>
          <w:tcPr>
            <w:tcW w:type="dxa" w:w="37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Read; this decision belongs to Project 3.</w:t>
            </w:r>
          </w:p>
        </w:tc>
        <w:tc>
          <w:tcPr>
            <w:tcW w:type="dxa" w:w="68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
            </w:r>
          </w:p>
        </w:tc>
      </w:tr>
    </w:tbl>
    <w:p>
      <w:pPr>
        <w:spacing w:before="120" w:after="60"/>
      </w:pPr>
      <w:r>
        <w:rPr>
          <w:rFonts w:ascii="Arial" w:cs="Arial" w:eastAsia="Arial" w:hAnsi="Arial"/>
          <w:sz w:val="15"/>
          <w:szCs w:val="15"/>
        </w:rPr>
        <w:t xml:space="preserve">If the group chooses against me on </w:t>
      </w:r>
      <w:r>
        <w:rPr>
          <w:rFonts w:ascii="Arial" w:cs="Arial" w:eastAsia="Arial" w:hAnsi="Arial"/>
          <w:b/>
          <w:bCs/>
          <w:sz w:val="15"/>
          <w:szCs w:val="15"/>
        </w:rPr>
        <w:t xml:space="preserve">D12 (absolute primary across datasets)</w:t>
      </w:r>
      <w:r>
        <w:rPr>
          <w:rFonts w:ascii="Arial" w:cs="Arial" w:eastAsia="Arial" w:hAnsi="Arial"/>
          <w:sz w:val="15"/>
          <w:szCs w:val="15"/>
        </w:rPr>
        <w:t xml:space="preserve">, the result in my project that changes is </w:t>
      </w:r>
      <w:r>
        <w:rPr>
          <w:rFonts w:ascii="Arial" w:cs="Arial" w:eastAsia="Arial" w:hAnsi="Arial"/>
          <w:b/>
          <w:bCs/>
          <w:sz w:val="15"/>
          <w:szCs w:val="15"/>
        </w:rPr>
        <w:t xml:space="preserve">the FAFB–MaleCNS module comparison: MaleCNS type-pair weights are ×1.5 higher (B6), so raw-count clusters would partly separate the datasets by pipeline rather than by biology.</w:t>
      </w:r>
    </w:p>
    <w:p>
      <w:pPr>
        <w:spacing w:before="0" w:after="60"/>
      </w:pPr>
      <w:r>
        <w:rPr>
          <w:rFonts w:ascii="Arial" w:cs="Arial" w:eastAsia="Arial" w:hAnsi="Arial"/>
          <w:i/>
          <w:iCs/>
          <w:sz w:val="14"/>
          <w:szCs w:val="14"/>
        </w:rPr>
        <w:t xml:space="preserve">Bias disclosure: Project 2 argues that magnitude is unreliable, which pulls me towards relative and normalised choices (D12, D17); weigh those answers accordingly.</w:t>
      </w:r>
    </w:p>
    <w:p>
      <w:r>
        <w:br w:type="page"/>
      </w:r>
    </w:p>
    <w:p>
      <w:pPr>
        <w:spacing w:after="40"/>
      </w:pPr>
      <w:r>
        <w:rPr>
          <w:rFonts w:ascii="Arial" w:cs="Arial" w:eastAsia="Arial" w:hAnsi="Arial"/>
          <w:b/>
          <w:bCs/>
          <w:sz w:val="24"/>
          <w:szCs w:val="24"/>
        </w:rPr>
        <w:t xml:space="preserve">Appendix — Week 2 evidence (Projects 2 and 5 checklist)</w:t>
      </w:r>
    </w:p>
    <w:p>
      <w:pPr>
        <w:spacing w:before="0" w:after="80"/>
      </w:pPr>
      <w:r>
        <w:rPr>
          <w:rFonts w:ascii="Arial" w:cs="Arial" w:eastAsia="Arial" w:hAnsi="Arial"/>
          <w:sz w:val="15"/>
          <w:szCs w:val="15"/>
        </w:rPr>
        <w:t xml:space="preserve">Printed from the cached tables after mapping to the Week 2 Data Conventions. Both neuron tables and both edge tables pass all validators and assert_interchangeable.</w:t>
      </w:r>
    </w:p>
    <w:p>
      <w:pPr>
        <w:spacing w:before="160" w:after="60"/>
      </w:pPr>
      <w:r>
        <w:rPr>
          <w:rFonts w:ascii="Arial" w:cs="Arial" w:eastAsia="Arial" w:hAnsi="Arial"/>
          <w:b/>
          <w:bCs/>
          <w:sz w:val="20"/>
          <w:szCs w:val="20"/>
        </w:rPr>
        <w:t xml:space="preserve">A1. Source columns</w:t>
      </w:r>
    </w:p>
    <w:p>
      <w:pPr>
        <w:spacing w:before="0" w:after="60"/>
      </w:pPr>
      <w:r>
        <w:rPr>
          <w:rFonts w:ascii="Arial" w:cs="Arial" w:eastAsia="Arial" w:hAnsi="Arial"/>
          <w:b/>
          <w:bCs/>
          <w:sz w:val="14"/>
          <w:szCs w:val="14"/>
        </w:rPr>
        <w:t xml:space="preserve">FAFB annotations v3.2.0 (31): </w:t>
      </w:r>
      <w:r>
        <w:rPr>
          <w:rFonts w:ascii="Arial" w:cs="Arial" w:eastAsia="Arial" w:hAnsi="Arial"/>
          <w:sz w:val="14"/>
          <w:szCs w:val="14"/>
        </w:rPr>
        <w:t xml:space="preserve">supervoxel_id, root_id, pos_x, pos_y, pos_z, soma_x, soma_y, soma_z, nucleus_id, flow, super_class, cell_class, cell_sub_class, supertype, cell_type, hemibrain_type, ito_lee_hemilineage, hartenstein_hemilineage, top_nt, top_nt_conf, known_nt, known_nt_source, side, nerve, vfb_id, fbbt_id, status, dimorphism, matching_notes, fru_dsx, synonyms</w:t>
      </w:r>
    </w:p>
    <w:p>
      <w:pPr>
        <w:spacing w:before="0" w:after="60"/>
      </w:pPr>
      <w:r>
        <w:rPr>
          <w:rFonts w:ascii="Arial" w:cs="Arial" w:eastAsia="Arial" w:hAnsi="Arial"/>
          <w:b/>
          <w:bCs/>
          <w:sz w:val="14"/>
          <w:szCs w:val="14"/>
        </w:rPr>
        <w:t xml:space="preserve">MaleCNS body-annotations v1.0 (36): </w:t>
      </w:r>
      <w:r>
        <w:rPr>
          <w:rFonts w:ascii="Arial" w:cs="Arial" w:eastAsia="Arial" w:hAnsi="Arial"/>
          <w:sz w:val="14"/>
          <w:szCs w:val="14"/>
        </w:rPr>
        <w:t xml:space="preserve">assignedOlHex1, assignedOlHex2, bodyId, flywireType, group, instance, somaSide, statusLabel, superclass, type, vfbId, hemibrainType, itoleeHl, supertype, birthtime, mancBodyid, mancGroup, mancType, subclass, synonyms, class, rootSide, somaNeuromere, trumanHl, dimorphism, matchingNotes, entryNerve, mancSerial, mcnsSerial, serialMotif, fruDsx, exitNerve, receptorType, somaLocation, tosomaLocation, status</w:t>
      </w:r>
    </w:p>
    <w:p>
      <w:pPr>
        <w:spacing w:before="0" w:after="60"/>
      </w:pPr>
      <w:r>
        <w:rPr>
          <w:rFonts w:ascii="Arial" w:cs="Arial" w:eastAsia="Arial" w:hAnsi="Arial"/>
          <w:i/>
          <w:iCs/>
          <w:sz w:val="14"/>
          <w:szCs w:val="14"/>
        </w:rPr>
        <w:t xml:space="preserve">n_pre / n_post and roiInfo come from neuPrint male-cns:v1.0; FAFB n_pre / n_post are not provided and stay null.</w:t>
      </w:r>
    </w:p>
    <w:p>
      <w:pPr>
        <w:spacing w:before="160" w:after="60"/>
      </w:pPr>
      <w:r>
        <w:rPr>
          <w:rFonts w:ascii="Arial" w:cs="Arial" w:eastAsia="Arial" w:hAnsi="Arial"/>
          <w:b/>
          <w:bCs/>
          <w:sz w:val="20"/>
          <w:szCs w:val="20"/>
        </w:rPr>
        <w:t xml:space="preserve">A2. Value counts</w:t>
      </w:r>
    </w:p>
    <w:tbl>
      <w:tblPr>
        <w:tblW w:type="dxa" w:w="15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gridCol w:w="5000"/>
      </w:tblGrid>
      <w:tr>
        <w:tc>
          <w:tcPr>
            <w:tcW w:type="dxa" w:w="5000"/>
            <w:tcBorders>
              <w:top w:val="none"/>
              <w:left w:val="none"/>
              <w:bottom w:val="none"/>
              <w:right w:val="none"/>
            </w:tcBorders>
          </w:tcPr>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tblGrid>
            <w:tr>
              <w:trPr>
                <w:cantSplit/>
                <w:tblHeader/>
              </w:trPr>
              <w:tc>
                <w:tcPr>
                  <w:tcW w:type="dxa" w:w="2600"/>
                  <w:tcBorders>
                    <w:top w:val="single" w:color="999999" w:sz="4"/>
                    <w:left w:val="single" w:color="999999" w:sz="4"/>
                    <w:bottom w:val="single" w:color="999999" w:sz="4"/>
                    <w:right w:val="single" w:color="999999" w:sz="4"/>
                  </w:tcBorders>
                  <w:shd w:fill="E7E6E6" w:color="auto" w:val="clear"/>
                  <w:tcMar>
                    <w:top w:type="dxa" w:w="30"/>
                    <w:left w:type="dxa" w:w="60"/>
                    <w:bottom w:type="dxa" w:w="30"/>
                    <w:right w:type="dxa" w:w="60"/>
                  </w:tcMar>
                </w:tcPr>
                <w:p>
                  <w:pPr>
                    <w:spacing w:after="0"/>
                  </w:pPr>
                  <w:r>
                    <w:rPr>
                      <w:rFonts w:ascii="Arial" w:cs="Arial" w:eastAsia="Arial" w:hAnsi="Arial"/>
                      <w:b/>
                      <w:bCs/>
                      <w:sz w:val="14"/>
                      <w:szCs w:val="14"/>
                    </w:rPr>
                    <w:t xml:space="preserve">side</w:t>
                  </w:r>
                </w:p>
              </w:tc>
              <w:tc>
                <w:tcPr>
                  <w:tcW w:type="dxa" w:w="1500"/>
                  <w:tcBorders>
                    <w:top w:val="single" w:color="999999" w:sz="4"/>
                    <w:left w:val="single" w:color="999999" w:sz="4"/>
                    <w:bottom w:val="single" w:color="999999" w:sz="4"/>
                    <w:right w:val="single" w:color="999999" w:sz="4"/>
                  </w:tcBorders>
                  <w:shd w:fill="E7E6E6" w:color="auto" w:val="clear"/>
                  <w:tcMar>
                    <w:top w:type="dxa" w:w="30"/>
                    <w:left w:type="dxa" w:w="60"/>
                    <w:bottom w:type="dxa" w:w="30"/>
                    <w:right w:type="dxa" w:w="60"/>
                  </w:tcMar>
                </w:tcPr>
                <w:p>
                  <w:pPr>
                    <w:spacing w:after="0"/>
                  </w:pPr>
                  <w:r>
                    <w:rPr>
                      <w:rFonts w:ascii="Arial" w:cs="Arial" w:eastAsia="Arial" w:hAnsi="Arial"/>
                      <w:b/>
                      <w:bCs/>
                      <w:sz w:val="14"/>
                      <w:szCs w:val="14"/>
                    </w:rPr>
                    <w:t xml:space="preserve">FAFB</w:t>
                  </w:r>
                </w:p>
              </w:tc>
              <w:tc>
                <w:tcPr>
                  <w:tcW w:type="dxa" w:w="1500"/>
                  <w:tcBorders>
                    <w:top w:val="single" w:color="999999" w:sz="4"/>
                    <w:left w:val="single" w:color="999999" w:sz="4"/>
                    <w:bottom w:val="single" w:color="999999" w:sz="4"/>
                    <w:right w:val="single" w:color="999999" w:sz="4"/>
                  </w:tcBorders>
                  <w:shd w:fill="E7E6E6" w:color="auto" w:val="clear"/>
                  <w:tcMar>
                    <w:top w:type="dxa" w:w="30"/>
                    <w:left w:type="dxa" w:w="60"/>
                    <w:bottom w:type="dxa" w:w="30"/>
                    <w:right w:type="dxa" w:w="60"/>
                  </w:tcMar>
                </w:tcPr>
                <w:p>
                  <w:pPr>
                    <w:spacing w:after="0"/>
                  </w:pPr>
                  <w:r>
                    <w:rPr>
                      <w:rFonts w:ascii="Arial" w:cs="Arial" w:eastAsia="Arial" w:hAnsi="Arial"/>
                      <w:b/>
                      <w:bCs/>
                      <w:sz w:val="14"/>
                      <w:szCs w:val="14"/>
                    </w:rPr>
                    <w:t xml:space="preserve">MaleCNS</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left</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69,956</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81,362</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right</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69,088</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82,738</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center</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174</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392</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unknown</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44</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630</w:t>
                  </w:r>
                </w:p>
              </w:tc>
            </w:tr>
          </w:tbl>
          <w:p/>
        </w:tc>
        <w:tc>
          <w:tcPr>
            <w:tcW w:type="dxa" w:w="5000"/>
            <w:tcBorders>
              <w:top w:val="none"/>
              <w:left w:val="none"/>
              <w:bottom w:val="none"/>
              <w:right w:val="none"/>
            </w:tcBorders>
          </w:tcPr>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tblGrid>
            <w:tr>
              <w:trPr>
                <w:cantSplit/>
                <w:tblHeader/>
              </w:trPr>
              <w:tc>
                <w:tcPr>
                  <w:tcW w:type="dxa" w:w="2600"/>
                  <w:tcBorders>
                    <w:top w:val="single" w:color="999999" w:sz="4"/>
                    <w:left w:val="single" w:color="999999" w:sz="4"/>
                    <w:bottom w:val="single" w:color="999999" w:sz="4"/>
                    <w:right w:val="single" w:color="999999" w:sz="4"/>
                  </w:tcBorders>
                  <w:shd w:fill="E7E6E6" w:color="auto" w:val="clear"/>
                  <w:tcMar>
                    <w:top w:type="dxa" w:w="30"/>
                    <w:left w:type="dxa" w:w="60"/>
                    <w:bottom w:type="dxa" w:w="30"/>
                    <w:right w:type="dxa" w:w="60"/>
                  </w:tcMar>
                </w:tcPr>
                <w:p>
                  <w:pPr>
                    <w:spacing w:after="0"/>
                  </w:pPr>
                  <w:r>
                    <w:rPr>
                      <w:rFonts w:ascii="Arial" w:cs="Arial" w:eastAsia="Arial" w:hAnsi="Arial"/>
                      <w:b/>
                      <w:bCs/>
                      <w:sz w:val="14"/>
                      <w:szCs w:val="14"/>
                    </w:rPr>
                    <w:t xml:space="preserve">super_class</w:t>
                  </w:r>
                </w:p>
              </w:tc>
              <w:tc>
                <w:tcPr>
                  <w:tcW w:type="dxa" w:w="1500"/>
                  <w:tcBorders>
                    <w:top w:val="single" w:color="999999" w:sz="4"/>
                    <w:left w:val="single" w:color="999999" w:sz="4"/>
                    <w:bottom w:val="single" w:color="999999" w:sz="4"/>
                    <w:right w:val="single" w:color="999999" w:sz="4"/>
                  </w:tcBorders>
                  <w:shd w:fill="E7E6E6" w:color="auto" w:val="clear"/>
                  <w:tcMar>
                    <w:top w:type="dxa" w:w="30"/>
                    <w:left w:type="dxa" w:w="60"/>
                    <w:bottom w:type="dxa" w:w="30"/>
                    <w:right w:type="dxa" w:w="60"/>
                  </w:tcMar>
                </w:tcPr>
                <w:p>
                  <w:pPr>
                    <w:spacing w:after="0"/>
                  </w:pPr>
                  <w:r>
                    <w:rPr>
                      <w:rFonts w:ascii="Arial" w:cs="Arial" w:eastAsia="Arial" w:hAnsi="Arial"/>
                      <w:b/>
                      <w:bCs/>
                      <w:sz w:val="14"/>
                      <w:szCs w:val="14"/>
                    </w:rPr>
                    <w:t xml:space="preserve">FAFB</w:t>
                  </w:r>
                </w:p>
              </w:tc>
              <w:tc>
                <w:tcPr>
                  <w:tcW w:type="dxa" w:w="1500"/>
                  <w:tcBorders>
                    <w:top w:val="single" w:color="999999" w:sz="4"/>
                    <w:left w:val="single" w:color="999999" w:sz="4"/>
                    <w:bottom w:val="single" w:color="999999" w:sz="4"/>
                    <w:right w:val="single" w:color="999999" w:sz="4"/>
                  </w:tcBorders>
                  <w:shd w:fill="E7E6E6" w:color="auto" w:val="clear"/>
                  <w:tcMar>
                    <w:top w:type="dxa" w:w="30"/>
                    <w:left w:type="dxa" w:w="60"/>
                    <w:bottom w:type="dxa" w:w="30"/>
                    <w:right w:type="dxa" w:w="60"/>
                  </w:tcMar>
                </w:tcPr>
                <w:p>
                  <w:pPr>
                    <w:spacing w:after="0"/>
                  </w:pPr>
                  <w:r>
                    <w:rPr>
                      <w:rFonts w:ascii="Arial" w:cs="Arial" w:eastAsia="Arial" w:hAnsi="Arial"/>
                      <w:b/>
                      <w:bCs/>
                      <w:sz w:val="14"/>
                      <w:szCs w:val="14"/>
                    </w:rPr>
                    <w:t xml:space="preserve">MaleCNS</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optic</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77,541</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89,390</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central</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32,383</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32,160</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sensory</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17,519</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15,884</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visual_projection</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8,038</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9,201</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ascending</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1,750</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1,846</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descending</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1,303</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1,314</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visual_centrifugal</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524</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563</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motor</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110</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815</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endocrine</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80</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94</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unknown</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14</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13,855</w:t>
                  </w:r>
                </w:p>
              </w:tc>
            </w:tr>
          </w:tbl>
          <w:p/>
        </w:tc>
        <w:tc>
          <w:tcPr>
            <w:tcW w:type="dxa" w:w="5000"/>
            <w:tcBorders>
              <w:top w:val="none"/>
              <w:left w:val="none"/>
              <w:bottom w:val="none"/>
              <w:right w:val="none"/>
            </w:tcBorders>
          </w:tcPr>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tblGrid>
            <w:tr>
              <w:trPr>
                <w:cantSplit/>
                <w:tblHeader/>
              </w:trPr>
              <w:tc>
                <w:tcPr>
                  <w:tcW w:type="dxa" w:w="2600"/>
                  <w:tcBorders>
                    <w:top w:val="single" w:color="999999" w:sz="4"/>
                    <w:left w:val="single" w:color="999999" w:sz="4"/>
                    <w:bottom w:val="single" w:color="999999" w:sz="4"/>
                    <w:right w:val="single" w:color="999999" w:sz="4"/>
                  </w:tcBorders>
                  <w:shd w:fill="E7E6E6" w:color="auto" w:val="clear"/>
                  <w:tcMar>
                    <w:top w:type="dxa" w:w="30"/>
                    <w:left w:type="dxa" w:w="60"/>
                    <w:bottom w:type="dxa" w:w="30"/>
                    <w:right w:type="dxa" w:w="60"/>
                  </w:tcMar>
                </w:tcPr>
                <w:p>
                  <w:pPr>
                    <w:spacing w:after="0"/>
                  </w:pPr>
                  <w:r>
                    <w:rPr>
                      <w:rFonts w:ascii="Arial" w:cs="Arial" w:eastAsia="Arial" w:hAnsi="Arial"/>
                      <w:b/>
                      <w:bCs/>
                      <w:sz w:val="14"/>
                      <w:szCs w:val="14"/>
                    </w:rPr>
                    <w:t xml:space="preserve">nt_type</w:t>
                  </w:r>
                </w:p>
              </w:tc>
              <w:tc>
                <w:tcPr>
                  <w:tcW w:type="dxa" w:w="1500"/>
                  <w:tcBorders>
                    <w:top w:val="single" w:color="999999" w:sz="4"/>
                    <w:left w:val="single" w:color="999999" w:sz="4"/>
                    <w:bottom w:val="single" w:color="999999" w:sz="4"/>
                    <w:right w:val="single" w:color="999999" w:sz="4"/>
                  </w:tcBorders>
                  <w:shd w:fill="E7E6E6" w:color="auto" w:val="clear"/>
                  <w:tcMar>
                    <w:top w:type="dxa" w:w="30"/>
                    <w:left w:type="dxa" w:w="60"/>
                    <w:bottom w:type="dxa" w:w="30"/>
                    <w:right w:type="dxa" w:w="60"/>
                  </w:tcMar>
                </w:tcPr>
                <w:p>
                  <w:pPr>
                    <w:spacing w:after="0"/>
                  </w:pPr>
                  <w:r>
                    <w:rPr>
                      <w:rFonts w:ascii="Arial" w:cs="Arial" w:eastAsia="Arial" w:hAnsi="Arial"/>
                      <w:b/>
                      <w:bCs/>
                      <w:sz w:val="14"/>
                      <w:szCs w:val="14"/>
                    </w:rPr>
                    <w:t xml:space="preserve">FAFB</w:t>
                  </w:r>
                </w:p>
              </w:tc>
              <w:tc>
                <w:tcPr>
                  <w:tcW w:type="dxa" w:w="1500"/>
                  <w:tcBorders>
                    <w:top w:val="single" w:color="999999" w:sz="4"/>
                    <w:left w:val="single" w:color="999999" w:sz="4"/>
                    <w:bottom w:val="single" w:color="999999" w:sz="4"/>
                    <w:right w:val="single" w:color="999999" w:sz="4"/>
                  </w:tcBorders>
                  <w:shd w:fill="E7E6E6" w:color="auto" w:val="clear"/>
                  <w:tcMar>
                    <w:top w:type="dxa" w:w="30"/>
                    <w:left w:type="dxa" w:w="60"/>
                    <w:bottom w:type="dxa" w:w="30"/>
                    <w:right w:type="dxa" w:w="60"/>
                  </w:tcMar>
                </w:tcPr>
                <w:p>
                  <w:pPr>
                    <w:spacing w:after="0"/>
                  </w:pPr>
                  <w:r>
                    <w:rPr>
                      <w:rFonts w:ascii="Arial" w:cs="Arial" w:eastAsia="Arial" w:hAnsi="Arial"/>
                      <w:b/>
                      <w:bCs/>
                      <w:sz w:val="14"/>
                      <w:szCs w:val="14"/>
                    </w:rPr>
                    <w:t xml:space="preserve">MaleCNS</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acetylcholine</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86,193</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94,946</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glutamate</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24,875</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28,055</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gaba</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19,171</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20,218</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dopamine</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5,909</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4,443</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serotonin</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2,282</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465</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unknown</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616</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14,867</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octopamine</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216</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102</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histamine</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0</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2,026</w:t>
                  </w:r>
                </w:p>
              </w:tc>
            </w:tr>
          </w:tbl>
          <w:p/>
        </w:tc>
      </w:tr>
    </w:tbl>
    <w:p>
      <w:pPr>
        <w:spacing w:before="60" w:after="60"/>
      </w:pPr>
      <w:r>
        <w:rPr>
          <w:rFonts w:ascii="Arial" w:cs="Arial" w:eastAsia="Arial" w:hAnsi="Arial"/>
          <w:i/>
          <w:iCs/>
          <w:sz w:val="14"/>
          <w:szCs w:val="14"/>
        </w:rPr>
        <w:t xml:space="preserve">MaleCNS super_class unknown (13,855) includes the MaleCNS-only levels (vnc_intrinsic, efferent, …) not yet in config; FAFB sensory includes sensory_ascending (612). Both reported to the group.</w:t>
      </w:r>
    </w:p>
    <w:p>
      <w:pPr>
        <w:spacing w:before="160" w:after="60"/>
      </w:pPr>
      <w:r>
        <w:rPr>
          <w:rFonts w:ascii="Arial" w:cs="Arial" w:eastAsia="Arial" w:hAnsi="Arial"/>
          <w:b/>
          <w:bCs/>
          <w:sz w:val="20"/>
          <w:szCs w:val="20"/>
        </w:rPr>
        <w:t xml:space="preserve">A3. Missing values per column (neurons table)</w:t>
      </w: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tblGrid>
      <w:tr>
        <w:trPr>
          <w:cantSplit/>
          <w:tblHeader/>
        </w:trPr>
        <w:tc>
          <w:tcPr>
            <w:tcW w:type="dxa" w:w="2600"/>
            <w:tcBorders>
              <w:top w:val="single" w:color="999999" w:sz="4"/>
              <w:left w:val="single" w:color="999999" w:sz="4"/>
              <w:bottom w:val="single" w:color="999999" w:sz="4"/>
              <w:right w:val="single" w:color="999999" w:sz="4"/>
            </w:tcBorders>
            <w:shd w:fill="E7E6E6" w:color="auto" w:val="clear"/>
            <w:tcMar>
              <w:top w:type="dxa" w:w="30"/>
              <w:left w:type="dxa" w:w="60"/>
              <w:bottom w:type="dxa" w:w="30"/>
              <w:right w:type="dxa" w:w="60"/>
            </w:tcMar>
          </w:tcPr>
          <w:p>
            <w:pPr>
              <w:spacing w:after="0"/>
            </w:pPr>
            <w:r>
              <w:rPr>
                <w:rFonts w:ascii="Arial" w:cs="Arial" w:eastAsia="Arial" w:hAnsi="Arial"/>
                <w:b/>
                <w:bCs/>
                <w:sz w:val="14"/>
                <w:szCs w:val="14"/>
              </w:rPr>
              <w:t xml:space="preserve">Column</w:t>
            </w:r>
          </w:p>
        </w:tc>
        <w:tc>
          <w:tcPr>
            <w:tcW w:type="dxa" w:w="1500"/>
            <w:tcBorders>
              <w:top w:val="single" w:color="999999" w:sz="4"/>
              <w:left w:val="single" w:color="999999" w:sz="4"/>
              <w:bottom w:val="single" w:color="999999" w:sz="4"/>
              <w:right w:val="single" w:color="999999" w:sz="4"/>
            </w:tcBorders>
            <w:shd w:fill="E7E6E6" w:color="auto" w:val="clear"/>
            <w:tcMar>
              <w:top w:type="dxa" w:w="30"/>
              <w:left w:type="dxa" w:w="60"/>
              <w:bottom w:type="dxa" w:w="30"/>
              <w:right w:type="dxa" w:w="60"/>
            </w:tcMar>
          </w:tcPr>
          <w:p>
            <w:pPr>
              <w:spacing w:after="0"/>
            </w:pPr>
            <w:r>
              <w:rPr>
                <w:rFonts w:ascii="Arial" w:cs="Arial" w:eastAsia="Arial" w:hAnsi="Arial"/>
                <w:b/>
                <w:bCs/>
                <w:sz w:val="14"/>
                <w:szCs w:val="14"/>
              </w:rPr>
              <w:t xml:space="preserve">FAFB</w:t>
            </w:r>
          </w:p>
        </w:tc>
        <w:tc>
          <w:tcPr>
            <w:tcW w:type="dxa" w:w="1500"/>
            <w:tcBorders>
              <w:top w:val="single" w:color="999999" w:sz="4"/>
              <w:left w:val="single" w:color="999999" w:sz="4"/>
              <w:bottom w:val="single" w:color="999999" w:sz="4"/>
              <w:right w:val="single" w:color="999999" w:sz="4"/>
            </w:tcBorders>
            <w:shd w:fill="E7E6E6" w:color="auto" w:val="clear"/>
            <w:tcMar>
              <w:top w:type="dxa" w:w="30"/>
              <w:left w:type="dxa" w:w="60"/>
              <w:bottom w:type="dxa" w:w="30"/>
              <w:right w:type="dxa" w:w="60"/>
            </w:tcMar>
          </w:tcPr>
          <w:p>
            <w:pPr>
              <w:spacing w:after="0"/>
            </w:pPr>
            <w:r>
              <w:rPr>
                <w:rFonts w:ascii="Arial" w:cs="Arial" w:eastAsia="Arial" w:hAnsi="Arial"/>
                <w:b/>
                <w:bCs/>
                <w:sz w:val="14"/>
                <w:szCs w:val="14"/>
              </w:rPr>
              <w:t xml:space="preserve">MaleCNS</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neuron_id</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0</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0</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dataset</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0</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0</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release</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0</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0</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cell_type</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1,542</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2,605</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cell_class</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31,744</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140,598</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cell_sub_class</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113,435</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143,198</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super_class</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0</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0</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side</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0</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0</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region</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0</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0</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nt_type</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0</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0</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nt_confidence</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616</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14,867</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n_pre</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139,262</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0</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n_post</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139,262</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0</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flywire_type</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139,262</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23,953</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manc_type</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139,262</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142,379</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hemibrain_type</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105,991</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132,203</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dimorphism</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14</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162,754</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status</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138,604</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0</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hemilineage</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101,720</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127,377</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nt_known</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51,425</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165,122</w:t>
            </w:r>
          </w:p>
        </w:tc>
      </w:tr>
    </w:tbl>
    <w:p>
      <w:pPr>
        <w:spacing w:before="60" w:after="60"/>
      </w:pPr>
      <w:r>
        <w:rPr>
          <w:rFonts w:ascii="Arial" w:cs="Arial" w:eastAsia="Arial" w:hAnsi="Arial"/>
          <w:i/>
          <w:iCs/>
          <w:sz w:val="14"/>
          <w:szCs w:val="14"/>
        </w:rPr>
        <w:t xml:space="preserve">Vocabulary columns hold unknown instead of null: side 44 / 630, super_class 14 / 13,855, nt_type 616 / 14,867, region 623 / 338.</w:t>
      </w:r>
    </w:p>
    <w:p>
      <w:pPr>
        <w:spacing w:before="160" w:after="60"/>
      </w:pPr>
      <w:r>
        <w:rPr>
          <w:rFonts w:ascii="Arial" w:cs="Arial" w:eastAsia="Arial" w:hAnsi="Arial"/>
          <w:b/>
          <w:bCs/>
          <w:sz w:val="20"/>
          <w:szCs w:val="20"/>
        </w:rPr>
        <w:t xml:space="preserve">A4. Edge counts and cache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2200"/>
      </w:tblGrid>
      <w:tr>
        <w:trPr>
          <w:cantSplit/>
          <w:tblHeader/>
        </w:trPr>
        <w:tc>
          <w:tcPr>
            <w:tcW w:type="dxa" w:w="3800"/>
            <w:tcBorders>
              <w:top w:val="single" w:color="999999" w:sz="4"/>
              <w:left w:val="single" w:color="999999" w:sz="4"/>
              <w:bottom w:val="single" w:color="999999" w:sz="4"/>
              <w:right w:val="single" w:color="999999" w:sz="4"/>
            </w:tcBorders>
            <w:shd w:fill="E7E6E6" w:color="auto" w:val="clear"/>
            <w:tcMar>
              <w:top w:type="dxa" w:w="30"/>
              <w:left w:type="dxa" w:w="60"/>
              <w:bottom w:type="dxa" w:w="30"/>
              <w:right w:type="dxa" w:w="60"/>
            </w:tcMar>
          </w:tcPr>
          <w:p>
            <w:pPr>
              <w:spacing w:after="0"/>
            </w:pPr>
            <w:r>
              <w:rPr>
                <w:rFonts w:ascii="Arial" w:cs="Arial" w:eastAsia="Arial" w:hAnsi="Arial"/>
                <w:b/>
                <w:bCs/>
                <w:sz w:val="14"/>
                <w:szCs w:val="14"/>
              </w:rPr>
              <w:t xml:space="preserve"/>
            </w:r>
          </w:p>
        </w:tc>
        <w:tc>
          <w:tcPr>
            <w:tcW w:type="dxa" w:w="2200"/>
            <w:tcBorders>
              <w:top w:val="single" w:color="999999" w:sz="4"/>
              <w:left w:val="single" w:color="999999" w:sz="4"/>
              <w:bottom w:val="single" w:color="999999" w:sz="4"/>
              <w:right w:val="single" w:color="999999" w:sz="4"/>
            </w:tcBorders>
            <w:shd w:fill="E7E6E6" w:color="auto" w:val="clear"/>
            <w:tcMar>
              <w:top w:type="dxa" w:w="30"/>
              <w:left w:type="dxa" w:w="60"/>
              <w:bottom w:type="dxa" w:w="30"/>
              <w:right w:type="dxa" w:w="60"/>
            </w:tcMar>
          </w:tcPr>
          <w:p>
            <w:pPr>
              <w:spacing w:after="0"/>
            </w:pPr>
            <w:r>
              <w:rPr>
                <w:rFonts w:ascii="Arial" w:cs="Arial" w:eastAsia="Arial" w:hAnsi="Arial"/>
                <w:b/>
                <w:bCs/>
                <w:sz w:val="14"/>
                <w:szCs w:val="14"/>
              </w:rPr>
              <w:t xml:space="preserve">FAFB</w:t>
            </w:r>
          </w:p>
        </w:tc>
        <w:tc>
          <w:tcPr>
            <w:tcW w:type="dxa" w:w="2200"/>
            <w:tcBorders>
              <w:top w:val="single" w:color="999999" w:sz="4"/>
              <w:left w:val="single" w:color="999999" w:sz="4"/>
              <w:bottom w:val="single" w:color="999999" w:sz="4"/>
              <w:right w:val="single" w:color="999999" w:sz="4"/>
            </w:tcBorders>
            <w:shd w:fill="E7E6E6" w:color="auto" w:val="clear"/>
            <w:tcMar>
              <w:top w:type="dxa" w:w="30"/>
              <w:left w:type="dxa" w:w="60"/>
              <w:bottom w:type="dxa" w:w="30"/>
              <w:right w:type="dxa" w:w="60"/>
            </w:tcMar>
          </w:tcPr>
          <w:p>
            <w:pPr>
              <w:spacing w:after="0"/>
            </w:pPr>
            <w:r>
              <w:rPr>
                <w:rFonts w:ascii="Arial" w:cs="Arial" w:eastAsia="Arial" w:hAnsi="Arial"/>
                <w:b/>
                <w:bCs/>
                <w:sz w:val="14"/>
                <w:szCs w:val="14"/>
              </w:rPr>
              <w:t xml:space="preserve">MaleCNS</w:t>
            </w:r>
          </w:p>
        </w:tc>
      </w:tr>
      <w:tr>
        <w:trPr>
          <w:cantSplit/>
          <w:tblHeader w:val="false"/>
        </w:trPr>
        <w:tc>
          <w:tcPr>
            <w:tcW w:type="dxa" w:w="38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Edges, ≥ 1 synapse (cached)</w:t>
            </w:r>
          </w:p>
        </w:tc>
        <w:tc>
          <w:tcPr>
            <w:tcW w:type="dxa" w:w="22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15,091,983</w:t>
            </w:r>
          </w:p>
        </w:tc>
        <w:tc>
          <w:tcPr>
            <w:tcW w:type="dxa" w:w="22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25,563,096</w:t>
            </w:r>
          </w:p>
        </w:tc>
      </w:tr>
      <w:tr>
        <w:trPr>
          <w:cantSplit/>
          <w:tblHeader w:val="false"/>
        </w:trPr>
        <w:tc>
          <w:tcPr>
            <w:tcW w:type="dxa" w:w="38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Edges, ≥ 5 synapses</w:t>
            </w:r>
          </w:p>
        </w:tc>
        <w:tc>
          <w:tcPr>
            <w:tcW w:type="dxa" w:w="22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2,700,513</w:t>
            </w:r>
          </w:p>
        </w:tc>
        <w:tc>
          <w:tcPr>
            <w:tcW w:type="dxa" w:w="22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6,235,649</w:t>
            </w:r>
          </w:p>
        </w:tc>
      </w:tr>
      <w:tr>
        <w:trPr>
          <w:cantSplit/>
          <w:tblHeader w:val="false"/>
        </w:trPr>
        <w:tc>
          <w:tcPr>
            <w:tcW w:type="dxa" w:w="38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Synapses, ≥ 1</w:t>
            </w:r>
          </w:p>
        </w:tc>
        <w:tc>
          <w:tcPr>
            <w:tcW w:type="dxa" w:w="22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54,492,922</w:t>
            </w:r>
          </w:p>
        </w:tc>
        <w:tc>
          <w:tcPr>
            <w:tcW w:type="dxa" w:w="22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124,024,573</w:t>
            </w:r>
          </w:p>
        </w:tc>
      </w:tr>
      <w:tr>
        <w:trPr>
          <w:cantSplit/>
          <w:tblHeader w:val="false"/>
        </w:trPr>
        <w:tc>
          <w:tcPr>
            <w:tcW w:type="dxa" w:w="38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Per-neuropil rows (edgeroi)</w:t>
            </w:r>
          </w:p>
        </w:tc>
        <w:tc>
          <w:tcPr>
            <w:tcW w:type="dxa" w:w="22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16,847,997</w:t>
            </w:r>
          </w:p>
        </w:tc>
        <w:tc>
          <w:tcPr>
            <w:tcW w:type="dxa" w:w="22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29,436,294</w:t>
            </w:r>
          </w:p>
        </w:tc>
      </w:tr>
      <w:tr>
        <w:trPr>
          <w:cantSplit/>
          <w:tblHeader w:val="false"/>
        </w:trPr>
        <w:tc>
          <w:tcPr>
            <w:tcW w:type="dxa" w:w="38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Self-connections dropped</w:t>
            </w:r>
          </w:p>
        </w:tc>
        <w:tc>
          <w:tcPr>
            <w:tcW w:type="dxa" w:w="22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0</w:t>
            </w:r>
          </w:p>
        </w:tc>
        <w:tc>
          <w:tcPr>
            <w:tcW w:type="dxa" w:w="22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101</w:t>
            </w:r>
          </w:p>
        </w:tc>
      </w:tr>
      <w:tr>
        <w:trPr>
          <w:cantSplit/>
          <w:tblHeader w:val="false"/>
        </w:trPr>
        <w:tc>
          <w:tcPr>
            <w:tcW w:type="dxa" w:w="38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Edge file, τ = 1</w:t>
            </w:r>
          </w:p>
        </w:tc>
        <w:tc>
          <w:tcPr>
            <w:tcW w:type="dxa" w:w="22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95.7 MB</w:t>
            </w:r>
          </w:p>
        </w:tc>
        <w:tc>
          <w:tcPr>
            <w:tcW w:type="dxa" w:w="22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189.5 MB</w:t>
            </w:r>
          </w:p>
        </w:tc>
      </w:tr>
      <w:tr>
        <w:trPr>
          <w:cantSplit/>
          <w:tblHeader w:val="false"/>
        </w:trPr>
        <w:tc>
          <w:tcPr>
            <w:tcW w:type="dxa" w:w="38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Edge file, τ = 5</w:t>
            </w:r>
          </w:p>
        </w:tc>
        <w:tc>
          <w:tcPr>
            <w:tcW w:type="dxa" w:w="22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18.2 MB</w:t>
            </w:r>
          </w:p>
        </w:tc>
        <w:tc>
          <w:tcPr>
            <w:tcW w:type="dxa" w:w="22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45.8 MB</w:t>
            </w:r>
          </w:p>
        </w:tc>
      </w:tr>
      <w:tr>
        <w:trPr>
          <w:cantSplit/>
          <w:tblHeader w:val="false"/>
        </w:trPr>
        <w:tc>
          <w:tcPr>
            <w:tcW w:type="dxa" w:w="38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Cold fetch (edges)</w:t>
            </w:r>
          </w:p>
        </w:tc>
        <w:tc>
          <w:tcPr>
            <w:tcW w:type="dxa" w:w="22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76 s (all three tables)</w:t>
            </w:r>
          </w:p>
        </w:tc>
        <w:tc>
          <w:tcPr>
            <w:tcW w:type="dxa" w:w="220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pPr>
            <w:r>
              <w:rPr>
                <w:rFonts w:ascii="Arial" w:cs="Arial" w:eastAsia="Arial" w:hAnsi="Arial"/>
                <w:b w:val="false"/>
                <w:bCs w:val="false"/>
                <w:sz w:val="14"/>
                <w:szCs w:val="14"/>
              </w:rPr>
              <w:t xml:space="preserve">20 s</w:t>
            </w:r>
          </w:p>
        </w:tc>
      </w:tr>
    </w:tbl>
    <w:p>
      <w:pPr>
        <w:spacing w:before="60" w:after="60"/>
      </w:pPr>
      <w:r>
        <w:rPr>
          <w:rFonts w:ascii="Arial" w:cs="Arial" w:eastAsia="Arial" w:hAnsi="Arial"/>
          <w:sz w:val="14"/>
          <w:szCs w:val="14"/>
        </w:rPr>
        <w:t xml:space="preserve">Neurons: FAFB 139,262 = 139,248 annotated + 14 ids of the 783 proofread set that appear in edges but not in the annotations (7 annotated ids are not 783 ids and appear in no edge). MaleCNS 165,122 Traced. MaleCNS edges ≥ 5 = 6,235,649 after dropping self-connections (6,235,682 with them).</w:t>
      </w:r>
    </w:p>
    <w:sectPr>
      <w:pgSz w:w="16838" w:h="11906" w:orient="landscape"/>
      <w:pgMar w:top="567" w:right="567" w:bottom="567" w:left="5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5"/>
        <w:szCs w:val="15"/>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2026-10-15T10:13:57.382Z</dcterms:created>
  <dcterms:modified xsi:type="dcterms:W3CDTF">2026-10-15T10:13:57.388Z</dcterms:modified>
</cp:coreProperties>
</file>

<file path=docProps/custom.xml><?xml version="1.0" encoding="utf-8"?>
<Properties xmlns="http://schemas.openxmlformats.org/officeDocument/2006/custom-properties" xmlns:vt="http://schemas.openxmlformats.org/officeDocument/2006/docPropsVTypes"/>
</file>