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F5C8B"/>
        </w:rPr>
        <w:t>Análise de Alternativas — Reservatórios de Amortecimento a Montante de Estrela/RS</w:t>
      </w:r>
    </w:p>
    <w:p>
      <w:r>
        <w:rPr>
          <w:b/>
        </w:rPr>
        <w:t>Projeto EUROCLIMA+ / AECID — Componente técnico (SEDEC/MIDR)</w:t>
      </w:r>
    </w:p>
    <w:p>
      <w:r>
        <w:rPr>
          <w:b/>
        </w:rPr>
        <w:t>Elaboração:</w:t>
      </w:r>
      <w:r>
        <w:t xml:space="preserve"> Cássio Rampinelli — COMUC/SEDEC · Julho de 2026</w:t>
      </w:r>
    </w:p>
    <w:p>
      <w:r>
        <w:rPr>
          <w:b/>
        </w:rPr>
        <w:t>Status:</w:t>
      </w:r>
      <w:r>
        <w:t xml:space="preserve"> análise exploratória de ordem de grandeza para subsidiar o Termo de Referência. Os parâmetros econômicos são preliminares e estão explicitados no §6.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1. Escopo da análise</w:t>
      </w:r>
    </w:p>
    <w:p>
      <w:r>
        <w:t xml:space="preserve">Foram avaliadas </w:t>
      </w:r>
      <w:r>
        <w:rPr>
          <w:b/>
        </w:rPr>
        <w:t>160 alternativas</w:t>
      </w:r>
      <w:r>
        <w:t>, combinando:</w:t>
      </w:r>
    </w:p>
    <w:p>
      <w:pPr>
        <w:pStyle w:val="ListBullet"/>
      </w:pPr>
      <w:r>
        <w:rPr>
          <w:b/>
        </w:rPr>
        <w:t>3 eixos</w:t>
      </w:r>
      <w:r>
        <w:t xml:space="preserve"> fornecidos em KMZ (</w:t>
      </w:r>
      <w:r>
        <w:rPr>
          <w:rFonts w:ascii="Consolas" w:hAnsi="Consolas"/>
          <w:sz w:val="18"/>
        </w:rPr>
        <w:t>Ponto-Barragem1/2/3</w:t>
      </w:r>
      <w:r>
        <w:t xml:space="preserve">), aqui designados </w:t>
      </w:r>
      <w:r>
        <w:rPr>
          <w:b/>
        </w:rPr>
        <w:t>B1</w:t>
      </w:r>
      <w:r>
        <w:t xml:space="preserve">, </w:t>
      </w:r>
      <w:r>
        <w:rPr>
          <w:b/>
        </w:rPr>
        <w:t>B2</w:t>
      </w:r>
      <w:r>
        <w:t xml:space="preserve"> e </w:t>
      </w:r>
      <w:r>
        <w:rPr>
          <w:b/>
        </w:rPr>
        <w:t>B3</w:t>
      </w:r>
      <w:r>
        <w:t>;</w:t>
      </w:r>
    </w:p>
    <w:p>
      <w:pPr>
        <w:pStyle w:val="ListBullet"/>
      </w:pPr>
      <w:r>
        <w:rPr>
          <w:b/>
        </w:rPr>
        <w:t>10 alturas</w:t>
      </w:r>
      <w:r>
        <w:t xml:space="preserve"> de barragem, de 30 m a 120 m, em passos de 10 m;</w:t>
      </w:r>
    </w:p>
    <w:p>
      <w:pPr>
        <w:pStyle w:val="ListBullet"/>
      </w:pPr>
      <w:r>
        <w:rPr>
          <w:b/>
        </w:rPr>
        <w:t>2 arranjos operacionais</w:t>
      </w:r>
      <w:r>
        <w:t xml:space="preserve"> — barragem convencional e barragem seca (</w:t>
      </w:r>
      <w:r>
        <w:rPr>
          <w:i/>
        </w:rPr>
        <w:t>dry dam</w:t>
      </w:r>
      <w:r>
        <w:t>);</w:t>
      </w:r>
    </w:p>
    <w:p>
      <w:pPr>
        <w:pStyle w:val="ListBullet"/>
      </w:pPr>
      <w:r>
        <w:rPr>
          <w:b/>
        </w:rPr>
        <w:t>combinações</w:t>
      </w:r>
      <w:r>
        <w:t xml:space="preserve"> entre eixos não aninhados (B3 + B2), com alturas independentes.</w:t>
      </w:r>
    </w:p>
    <w:p>
      <w:r>
        <w:t>Para cada alternativa foram calculados, a partir do MDE de 28,6 m: geometria da barragem (comprimento de crista, volume de aterro), curva cota-área-volume do reservatório, roteamento hidrológico de Puls sobre nove cenários de frequência, dano esperado anual e indicadores econômicos.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2. Os eixos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Eixo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Latitude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Longitude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Cota do eixo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 controlada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% da bacia em Estrela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Ponto-Barragem1.kmz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−29,15308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−51,75308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57,0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15.457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79,5 %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Ponto_Barragem3.kmz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−29,08853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−51,63962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72,5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12.774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65,7 %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Ponto_Barragem2.kmz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−29,07525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−51,71192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69,0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2.562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13,2 %</w:t>
            </w:r>
          </w:p>
        </w:tc>
      </w:tr>
    </w:tbl>
    <w:p/>
    <w:p>
      <w:r>
        <w:t xml:space="preserve">A aderência à Base Hidrográfica Ottocodificada da ANA foi de −0,6% (B1), −0,8% (B3) e +0,1% (B2), confirmando o posicionamento na drenagem. O deslocamento de </w:t>
      </w:r>
      <w:r>
        <w:rPr>
          <w:i/>
        </w:rPr>
        <w:t>snap</w:t>
      </w:r>
      <w:r>
        <w:t xml:space="preserve"> ficou entre 148 e 188 m.</w:t>
      </w:r>
    </w:p>
    <w:p>
      <w:pPr>
        <w:spacing w:before="120"/>
        <w:ind w:left="454"/>
      </w:pPr>
      <w:r>
        <w:rPr>
          <w:b/>
          <w:color w:val="444444"/>
          <w:sz w:val="19"/>
        </w:rPr>
        <w:t>Estrutura aninhada.</w:t>
      </w:r>
      <w:r>
        <w:rPr>
          <w:color w:val="444444"/>
          <w:sz w:val="19"/>
        </w:rPr>
        <w:t xml:space="preserve"> B1 está a jusante da confluência de B3 e B2. A área incremental entre eles é de apenas </w:t>
      </w:r>
      <w:r>
        <w:rPr>
          <w:b/>
          <w:color w:val="444444"/>
          <w:sz w:val="19"/>
        </w:rPr>
        <w:t>121 km² (0,8% de B1)</w:t>
      </w:r>
      <w:r>
        <w:rPr>
          <w:color w:val="444444"/>
          <w:sz w:val="19"/>
        </w:rPr>
        <w:t xml:space="preserve">. Portanto os volumes </w:t>
      </w:r>
      <w:r>
        <w:rPr>
          <w:b/>
          <w:color w:val="444444"/>
          <w:sz w:val="19"/>
        </w:rPr>
        <w:t>não são aditivos</w:t>
      </w:r>
      <w:r>
        <w:rPr>
          <w:color w:val="444444"/>
          <w:sz w:val="19"/>
        </w:rPr>
        <w:t xml:space="preserve"> e as alternativas mutuamente exclusivas são: - </w:t>
      </w:r>
      <w:r>
        <w:rPr>
          <w:b/>
          <w:color w:val="444444"/>
          <w:sz w:val="19"/>
        </w:rPr>
        <w:t>B1 isolada</w:t>
      </w:r>
      <w:r>
        <w:rPr>
          <w:color w:val="444444"/>
          <w:sz w:val="19"/>
        </w:rPr>
        <w:t xml:space="preserve"> (79,5% da bacia), ou - </w:t>
      </w:r>
      <w:r>
        <w:rPr>
          <w:b/>
          <w:color w:val="444444"/>
          <w:sz w:val="19"/>
        </w:rPr>
        <w:t>B3 + B2</w:t>
      </w:r>
      <w:r>
        <w:rPr>
          <w:color w:val="444444"/>
          <w:sz w:val="19"/>
        </w:rPr>
        <w:t xml:space="preserve"> (78,9% da bacia), evitando uma estrutura única de grande porte. Não faz sentido combinar B1 com B2 ou B3.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2.1 Comparação com os eixos em shapefile</w:t>
      </w:r>
    </w:p>
    <w:p>
      <w:r>
        <w:t xml:space="preserve">Os KMZ ficam próximos, mas </w:t>
      </w:r>
      <w:r>
        <w:rPr>
          <w:b/>
        </w:rPr>
        <w:t>não coincidem</w:t>
      </w:r>
      <w:r>
        <w:t xml:space="preserve"> com os pontos anteriores (</w:t>
      </w:r>
      <w:r>
        <w:rPr>
          <w:rFonts w:ascii="Consolas" w:hAnsi="Consolas"/>
          <w:sz w:val="18"/>
        </w:rPr>
        <w:t>Barragem_A/A2/B</w:t>
      </w:r>
      <w:r>
        <w:t>), e a diferença importa: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Shapefile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 a 80 m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KMZ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 a 80 m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Diferença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 principal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BAR‑A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2.231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1.600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−28,3 %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Ramo Antas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BAR‑A2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1.004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B3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970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−3,4 %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Tributário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BAR‑B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301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B2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326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+8,4 %</w:t>
            </w:r>
          </w:p>
        </w:tc>
      </w:tr>
    </w:tbl>
    <w:p/>
    <w:p>
      <w:r>
        <w:rPr>
          <w:b/>
        </w:rPr>
        <w:t>O eixo B1 do KMZ é hidraulicamente pior que o BAR‑A do shapefile</w:t>
      </w:r>
      <w:r>
        <w:t>: armazena 28% menos com a mesma altura, porque está num trecho de vale mais encaixado, 10 m acima em cota. Vale reavaliar a posição — deslocar B1 para jusante recupera volume significativo.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3. Geometria e custo das barragens</w:t>
      </w:r>
    </w:p>
    <w:p>
      <w:r>
        <w:t>Extraídos do perfil transversal do vale, perpendicular à direção do escoamento, com seção trapezoidal (crista 10 m, taludes 1V:2,5H montante e 1V:2,0H jusante, borda livre 3 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Altura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B1 — crista / aterro / custo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B3 — crista / aterro / custo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B2 — crista / aterro / custo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558 m · 1,48 hm³ · R$ 280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473 m · 1,54 hm³ · R$ 271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458 m · 0,81 hm³ · R$ 126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673 m · 3,57 hm³ · R$ 644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587 m · 3,52 hm³ · R$ 559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1.360 m · 6,18 hm³ · R$ 805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788 m · 6,85 hm³ · R$ 1.125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702 m · 6,54 hm³ · R$ 980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1.432 m · 12,2 hm³ · R$ 1.563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845 m · 11,5 hm³ · R$ 1.790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902 m · 10,8 hm³ · R$ 1.568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1.503 m · 20,8 hm³ · R$ 2.636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931 m · 17,7 hm³ · R$ 2.649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1.074 m · 16,8 hm³ · R$ 2.363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1.589 m · 32,1 hm³ · R$ 4.042 M</w:t>
            </w:r>
          </w:p>
        </w:tc>
      </w:tr>
    </w:tbl>
    <w:p/>
    <w:p>
      <w:pPr>
        <w:spacing w:before="120"/>
        <w:ind w:left="454"/>
      </w:pPr>
      <w:r>
        <w:rPr>
          <w:b/>
          <w:color w:val="444444"/>
          <w:sz w:val="19"/>
        </w:rPr>
        <w:t>Descontinuidade em B2 entre 45 m e 50 m.</w:t>
      </w:r>
      <w:r>
        <w:rPr>
          <w:color w:val="444444"/>
          <w:sz w:val="19"/>
        </w:rPr>
        <w:t xml:space="preserve"> O comprimento de crista salta de </w:t>
      </w:r>
      <w:r>
        <w:rPr>
          <w:b/>
          <w:color w:val="444444"/>
          <w:sz w:val="19"/>
        </w:rPr>
        <w:t>501 m para 1.274 m</w:t>
      </w:r>
      <w:r>
        <w:rPr>
          <w:color w:val="444444"/>
          <w:sz w:val="19"/>
        </w:rPr>
        <w:t xml:space="preserve"> e o custo de R$ 162 M para R$ 539 M. Isso indica que, acima de ~45 m, o reservatório transborda por uma </w:t>
      </w:r>
      <w:r>
        <w:rPr>
          <w:b/>
          <w:color w:val="444444"/>
          <w:sz w:val="19"/>
        </w:rPr>
        <w:t>sela topográfica</w:t>
      </w:r>
      <w:r>
        <w:rPr>
          <w:color w:val="444444"/>
          <w:sz w:val="19"/>
        </w:rPr>
        <w:t xml:space="preserve"> para um vale adjacente, exigindo </w:t>
      </w:r>
      <w:r>
        <w:rPr>
          <w:b/>
          <w:color w:val="444444"/>
          <w:sz w:val="19"/>
        </w:rPr>
        <w:t>dique de sela</w:t>
      </w:r>
      <w:r>
        <w:rPr>
          <w:color w:val="444444"/>
          <w:sz w:val="19"/>
        </w:rPr>
        <w:t>. É um ponto de inflexão de projeto: B2 acima de 45 m fica desproporcionalmente cara.</w:t>
      </w:r>
    </w:p>
    <w:p>
      <w:r>
        <w:t>Descontinuidade análoga, mas menos severa, ocorre em B3 entre 30 m e 35 m (área alagada salta de 2,9 para 11,0 km²) e em B1 entre 45 m e 50 m (17,1 → 26,6 km²).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4. Desempenho hidrológico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4.1 O arranjo operacional domina o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Arranjo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Melhor redução de pico obtida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Convencional</w:t>
            </w:r>
            <w:r>
              <w:rPr>
                <w:sz w:val="18"/>
              </w:rPr>
              <w:t xml:space="preserve"> (vertedouro de soleira livre a ¾ da altura)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37,8 %</w:t>
            </w:r>
            <w:r>
              <w:rPr>
                <w:sz w:val="18"/>
              </w:rPr>
              <w:t xml:space="preserve"> — B1 a 120 m, R$ 2.649 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 maioria satura e transfere a cheia integralmente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Seca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dry dam</w:t>
            </w:r>
            <w:r>
              <w:rPr>
                <w:sz w:val="18"/>
              </w:rPr>
              <w:t>, descarga de fundo dimensionada, vertedouro junto à crista)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55,1 %</w:t>
            </w:r>
            <w:r>
              <w:rPr>
                <w:sz w:val="18"/>
              </w:rPr>
              <w:t xml:space="preserve"> — B1 a 110 m, R$ 2.194 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única configuração com desempenho relevante</w:t>
            </w:r>
          </w:p>
        </w:tc>
      </w:tr>
    </w:tbl>
    <w:p/>
    <w:p>
      <w:r>
        <w:rPr>
          <w:b/>
        </w:rPr>
        <w:t>Nenhuma alternativa convencional é economicamente viável.</w:t>
      </w:r>
      <w:r>
        <w:t xml:space="preserve"> Todas as alternativas com razão benefício-custo acima de 1 são de barragem seca.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4.2 Melhor alternativa por faixa de redução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Faixa de redução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Melhor alternativa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 utilizado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 alagada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1568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B/C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10 %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70 m seca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1.166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40,0 km²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R$ 865 M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2,35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20–30 %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 — 80 m seca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1.600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46,8 km²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R$ 1.125 M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2,70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40–50 %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B3 — 100 m seca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1.583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39,7 km²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R$ 1.568 M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1,99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50–60 %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 — 90 m seca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1.977 hm³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54,0 km²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R$ 1.431 M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2,45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4.3 Alternativas de maior valor presente líquido</w:t>
      </w:r>
    </w:p>
    <w:p>
      <w:r>
        <w:t xml:space="preserve">Para alternativas </w:t>
      </w:r>
      <w:r>
        <w:rPr>
          <w:b/>
        </w:rPr>
        <w:t>mutuamente exclusivas</w:t>
      </w:r>
      <w:r>
        <w:t xml:space="preserve">, o critério correto de seleção é o </w:t>
      </w:r>
      <w:r>
        <w:rPr>
          <w:b/>
        </w:rPr>
        <w:t>VPL líquido</w:t>
      </w:r>
      <w:r>
        <w:t>, não a razão B/C.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Redução do pico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Vol. utilizado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 alagada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VPL líquido</w:t>
            </w:r>
          </w:p>
        </w:tc>
        <w:tc>
          <w:tcPr>
            <w:tcW w:type="dxa" w:w="1176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B/C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B1 — 90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52,7 %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1.977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54,0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R$ 1.431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R$ 2.339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2,45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80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23,4 %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1.600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46,8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R$ 1.125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R$ 2.153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2,70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100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54,0 %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2.145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63,0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R$ 1.790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R$ 2.086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2,03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B3 — 100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43,6 %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1.583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39,7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R$ 1.568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R$ 1.740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1,99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110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55,1 %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2.145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71,7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R$ 2.194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R$ 1.728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1,70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B3 — 90 m seca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22,1 %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1.253 hm³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34,2 km²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R$ 1.250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R$ 1.700 M</w:t>
            </w:r>
          </w:p>
        </w:tc>
        <w:tc>
          <w:tcPr>
            <w:tcW w:type="dxa" w:w="117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2,21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5C8B"/>
        </w:rPr>
        <w:t>5. Alternativas recomendadas para detalhamento</w:t>
      </w:r>
    </w:p>
    <w:p>
      <w:r>
        <w:t>Três alternativas merecem ser levadas ao estudo contratado, por representarem escolhas estruturalmente distintas: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Alternativa I — B1, 90 m, barragem seca</w:t>
      </w:r>
    </w:p>
    <w:p>
      <w:pPr>
        <w:pStyle w:val="ListBullet"/>
      </w:pPr>
      <w:r>
        <w:rPr>
          <w:b/>
        </w:rPr>
        <w:t>Redução do pico: 52,7 %</w:t>
      </w:r>
      <w:r>
        <w:t xml:space="preserve"> (de 18.000 para ~8.500 m³/s)</w:t>
      </w:r>
    </w:p>
    <w:p>
      <w:pPr>
        <w:pStyle w:val="ListBullet"/>
      </w:pPr>
      <w:r>
        <w:t>Volume utilizado 1.977 hm³ · área alagada 54,0 km² · crista 816 m · aterro 9,0 hm³</w:t>
      </w:r>
    </w:p>
    <w:p>
      <w:pPr>
        <w:pStyle w:val="ListBullet"/>
      </w:pPr>
      <w:r>
        <w:t xml:space="preserve">Custo R$ 1.431 M · </w:t>
      </w:r>
      <w:r>
        <w:rPr>
          <w:b/>
        </w:rPr>
        <w:t>VPL líquido R$ 2.339 M · B/C 2,45</w:t>
      </w:r>
    </w:p>
    <w:p>
      <w:pPr>
        <w:pStyle w:val="ListBullet"/>
      </w:pPr>
      <w:r>
        <w:rPr>
          <w:b/>
        </w:rPr>
        <w:t>Prós:</w:t>
      </w:r>
      <w:r>
        <w:t xml:space="preserve"> melhor VPL líquido do universo; estrutura única, um só sítio de obra e de licenciamento.</w:t>
      </w:r>
    </w:p>
    <w:p>
      <w:pPr>
        <w:pStyle w:val="ListBullet"/>
      </w:pPr>
      <w:r>
        <w:rPr>
          <w:b/>
        </w:rPr>
        <w:t>Contras:</w:t>
      </w:r>
      <w:r>
        <w:t xml:space="preserve"> barragem de 90 m é obra de grande porte, classe de alto dano potencial pela Lei nº 12.334/2010; 54 km² de área inundável implicam desapropriação e possível remoção de população; risco concentrado em uma única estrutura.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Alternativa II — B3, 100 m, barragem seca</w:t>
      </w:r>
    </w:p>
    <w:p>
      <w:pPr>
        <w:pStyle w:val="ListBullet"/>
      </w:pPr>
      <w:r>
        <w:rPr>
          <w:b/>
        </w:rPr>
        <w:t>Redução do pico: 43,6 %</w:t>
      </w:r>
    </w:p>
    <w:p>
      <w:pPr>
        <w:pStyle w:val="ListBullet"/>
      </w:pPr>
      <w:r>
        <w:t xml:space="preserve">Volume utilizado 1.583 hm³ · </w:t>
      </w:r>
      <w:r>
        <w:rPr>
          <w:b/>
        </w:rPr>
        <w:t>área alagada 39,7 km²</w:t>
      </w:r>
      <w:r>
        <w:t xml:space="preserve"> (26% menor que a Alternativa I) · crista 902 m</w:t>
      </w:r>
    </w:p>
    <w:p>
      <w:pPr>
        <w:pStyle w:val="ListBullet"/>
      </w:pPr>
      <w:r>
        <w:t>Custo R$ 1.568 M · VPL líquido R$ 1.740 M · B/C 1,99</w:t>
      </w:r>
    </w:p>
    <w:p>
      <w:pPr>
        <w:pStyle w:val="ListBullet"/>
      </w:pPr>
      <w:r>
        <w:rPr>
          <w:b/>
        </w:rPr>
        <w:t>Prós:</w:t>
      </w:r>
      <w:r>
        <w:t xml:space="preserve"> menor impacto territorial por unidade de benefício; deixa o tributário B2 livre.</w:t>
      </w:r>
    </w:p>
    <w:p>
      <w:pPr>
        <w:pStyle w:val="ListBullet"/>
      </w:pPr>
      <w:r>
        <w:rPr>
          <w:b/>
        </w:rPr>
        <w:t>Contras:</w:t>
      </w:r>
      <w:r>
        <w:t xml:space="preserve"> desempenho 9 pontos percentuais inferior; controla 65,7% da bacia, contra 79,5% de B1.</w:t>
      </w:r>
    </w:p>
    <w:p>
      <w:pPr>
        <w:pStyle w:val="Heading3"/>
        <w:jc w:val="left"/>
      </w:pPr>
      <w:r>
        <w:rPr>
          <w:rFonts w:ascii="Calibri" w:hAnsi="Calibri"/>
          <w:color w:val="1F5C8B"/>
        </w:rPr>
        <w:t>Alternativa III — B3 100 m + B2 30 m, ambas secas</w:t>
      </w:r>
    </w:p>
    <w:p>
      <w:pPr>
        <w:pStyle w:val="ListBullet"/>
      </w:pPr>
      <w:r>
        <w:rPr>
          <w:b/>
        </w:rPr>
        <w:t>Redução do pico: 43,6 %</w:t>
      </w:r>
    </w:p>
    <w:p>
      <w:pPr>
        <w:pStyle w:val="ListBullet"/>
      </w:pPr>
      <w:r>
        <w:t>Volume utilizado 1.645 hm³ · área alagada 43,4 km² · custo R$ 1.639 M · B/C 1,90</w:t>
      </w:r>
    </w:p>
    <w:p>
      <w:pPr>
        <w:pStyle w:val="ListBullet"/>
      </w:pPr>
      <w:r>
        <w:rPr>
          <w:b/>
        </w:rPr>
        <w:t>Prós:</w:t>
      </w:r>
      <w:r>
        <w:t xml:space="preserve"> distribui o risco em duas estruturas menores; B2 a 30 m fica </w:t>
      </w:r>
      <w:r>
        <w:rPr>
          <w:b/>
        </w:rPr>
        <w:t>abaixo da sela</w:t>
      </w:r>
      <w:r>
        <w:t xml:space="preserve"> (crista de 301 m, custo R$ 71 M) e é barata.</w:t>
      </w:r>
    </w:p>
    <w:p>
      <w:pPr>
        <w:pStyle w:val="ListBullet"/>
      </w:pPr>
      <w:r>
        <w:rPr>
          <w:b/>
        </w:rPr>
        <w:t>Contras:</w:t>
      </w:r>
      <w:r>
        <w:t xml:space="preserve"> dois sítios de obra e de licenciamento; ganho marginal sobre a Alternativa II é pequeno.</w:t>
      </w:r>
    </w:p>
    <w:p>
      <w:pPr>
        <w:spacing w:before="120"/>
        <w:ind w:left="454"/>
      </w:pPr>
      <w:r>
        <w:rPr>
          <w:b/>
          <w:color w:val="444444"/>
          <w:sz w:val="19"/>
        </w:rPr>
        <w:t>Alternativa descartada — B2 acima de 45 m.</w:t>
      </w:r>
      <w:r>
        <w:rPr>
          <w:color w:val="444444"/>
          <w:sz w:val="19"/>
        </w:rPr>
        <w:t xml:space="preserve"> O dique de sela necessário multiplica o custo por 3,3 sem ganho hidrológico proporcional. Se B2 entrar em qualquer arranjo, deve ficar </w:t>
      </w:r>
      <w:r>
        <w:rPr>
          <w:b/>
          <w:color w:val="444444"/>
          <w:sz w:val="19"/>
        </w:rPr>
        <w:t>em 30–45 m</w:t>
      </w:r>
      <w:r>
        <w:rPr>
          <w:color w:val="444444"/>
          <w:sz w:val="19"/>
        </w:rPr>
        <w:t>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6. Hipóteses econômicas e sensibilidade</w:t>
      </w:r>
    </w:p>
    <w:p>
      <w:r>
        <w:rPr>
          <w:b/>
        </w:rPr>
        <w:t>Toda a análise econômica depende de dois parâmetros ainda não medidos.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adotado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Dano direto do evento de referência em Estrela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R$ 2.500 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estimativa — a medir no Eixo 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Tempo de retorno atribuído ao evento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anos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 determinar na análise de frequência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Vazão sem dano relevante em Estrela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4.000 m³/s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 determinar com o HEC-RAS 2D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Horizonte de análise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 anos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padrão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Taxa de desconto social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6 % a.a.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padrão de infraestrutura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Custo de aterro compactado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R$ 90/m³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ordem de grandeza — revisar com SINAPI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Desapropriação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R$ 45.000/ha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ordem de grandeza — revisar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BDI e obras complementares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+35 %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ordem de grandeza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6.1 Dano mínimo para que cada alternativa se pague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Redução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235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Dano mínimo do evento para B/C = 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80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23,4 %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R$ 1.125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R$ 926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90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52,7 %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R$ 1.431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R$ 1.020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B3 — 90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22,1 %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R$ 1.250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R$ 1.132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100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54,0 %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R$ 1.790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R$ 1.229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B3 — 100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43,6 %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R$ 1.568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R$ 1.259 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110 m seca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55,1 %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R$ 2.194 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R$ 1.471 M</w:t>
            </w:r>
          </w:p>
        </w:tc>
      </w:tr>
    </w:tbl>
    <w:p/>
    <w:p>
      <w:r>
        <w:rPr>
          <w:b/>
        </w:rPr>
        <w:t>Leitura:</w:t>
      </w:r>
      <w:r>
        <w:t xml:space="preserve"> se o dano direto de um evento como o de 2024 em Estrela for inferior a ≈ R$ 1 bilhão, </w:t>
      </w:r>
      <w:r>
        <w:rPr>
          <w:b/>
        </w:rPr>
        <w:t>nenhuma barragem se justifica economicamente</w:t>
      </w:r>
      <w:r>
        <w:t>. Acima de R$ 1,5 bilhão, várias se justificam com folga.</w:t>
      </w:r>
    </w:p>
    <w:p>
      <w:r>
        <w:t xml:space="preserve">Essa é a pergunta empírica que decide o projeto — e é exatamente o que o </w:t>
      </w:r>
      <w:r>
        <w:rPr>
          <w:b/>
        </w:rPr>
        <w:t>Eixo 3 do TR</w:t>
      </w:r>
      <w:r>
        <w:t xml:space="preserve"> precisa medir, por meio das curvas cota-dano construídas sobre o cadastro do Eixo 1.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7. Conclusões</w:t>
      </w:r>
    </w:p>
    <w:p>
      <w:r>
        <w:rPr>
          <w:b/>
        </w:rPr>
        <w:t>(1) O arranjo operacional importa mais do que o tamanho.</w:t>
      </w:r>
      <w:r>
        <w:t xml:space="preserve"> Uma barragem convencional de 120 m rende menos que uma barragem seca de 90 m, e custa quase o dobro. A distinção </w:t>
      </w:r>
      <w:r>
        <w:rPr>
          <w:b/>
        </w:rPr>
        <w:t>barragem seca × barragem convencional</w:t>
      </w:r>
      <w:r>
        <w:t xml:space="preserve"> deve ser tratada no TR como variável de projeto de primeira ordem.</w:t>
      </w:r>
    </w:p>
    <w:p>
      <w:r>
        <w:rPr>
          <w:b/>
        </w:rPr>
        <w:t>(2) O teto de desempenho é ~55 % de redução do pico.</w:t>
      </w:r>
      <w:r>
        <w:t xml:space="preserve"> Nenhuma alternativa, em nenhuma altura até 120 m, ultrapassa isso — porque 20,5% da bacia não é controlada por nenhum dos eixos e produz, sozinha, pico residual da ordem de 3.500 m³/s.</w:t>
      </w:r>
    </w:p>
    <w:p>
      <w:r>
        <w:rPr>
          <w:b/>
        </w:rPr>
        <w:t>(3) Nenhuma alternativa isolada evita os danos da cheia de 2024.</w:t>
      </w:r>
      <w:r>
        <w:t xml:space="preserve"> A melhor reduz o pico de 18.000 para ~8.500 m³/s, ainda muito acima do limiar de dano relevante. </w:t>
      </w:r>
      <w:r>
        <w:rPr>
          <w:b/>
        </w:rPr>
        <w:t>Barragens só fazem sentido como parte de um arranjo híbrido</w:t>
      </w:r>
      <w:r>
        <w:t xml:space="preserve"> com diques, realocação, controle de uso do solo e alerta precoce.</w:t>
      </w:r>
    </w:p>
    <w:p>
      <w:r>
        <w:rPr>
          <w:b/>
        </w:rPr>
        <w:t>(4) A escolha é entre concentrar ou distribuir.</w:t>
      </w:r>
      <w:r>
        <w:t xml:space="preserve"> B1 a 90 m maximiza o VPL líquido, mas concentra risco e impacto territorial em uma estrutura de grande porte. B3 a 100 m entrega 83% do benefício com 74% da área inundada e sem barrar o eixo principal.</w:t>
      </w:r>
    </w:p>
    <w:p>
      <w:r>
        <w:rPr>
          <w:b/>
        </w:rPr>
        <w:t>(5) A viabilidade é frágil a um parâmetro.</w:t>
      </w:r>
      <w:r>
        <w:t xml:space="preserve"> Todo o resultado econômico se inverte se o dano de referência estiver abaixo de R$ 1 bilhão. Enquanto esse número não for medido, </w:t>
      </w:r>
      <w:r>
        <w:rPr>
          <w:b/>
        </w:rPr>
        <w:t>nenhuma decisão de investimento deve ser tomada</w:t>
      </w:r>
      <w:r>
        <w:t xml:space="preserve"> — e o TR deve deixar isso explícito.</w:t>
      </w:r>
    </w:p>
    <w:p>
      <w:r>
        <w:rPr>
          <w:b/>
        </w:rPr>
        <w:t>(6) Reavaliar a posição de B1.</w:t>
      </w:r>
      <w:r>
        <w:t xml:space="preserve"> O eixo do KMZ armazena 28% menos que o ponto marcado anteriormente no shapefile (</w:t>
      </w:r>
      <w:r>
        <w:rPr>
          <w:rFonts w:ascii="Consolas" w:hAnsi="Consolas"/>
          <w:sz w:val="18"/>
        </w:rPr>
        <w:t>Barragem_A</w:t>
      </w:r>
      <w:r>
        <w:t xml:space="preserve">), a mesma altura. Um deslocamento do eixo para jusante melhora substancialmente a relação volume/altura. </w:t>
      </w:r>
      <w:r>
        <w:rPr>
          <w:b/>
        </w:rPr>
        <w:t>A locação ótima do eixo deve ser objeto de estudo específico</w:t>
      </w:r>
      <w:r>
        <w:t>, e não fixada a priori no TR.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8. Limitações</w:t>
      </w:r>
    </w:p>
    <w:p>
      <w:pPr>
        <w:pStyle w:val="ListBullet"/>
      </w:pPr>
      <w:r>
        <w:t xml:space="preserve">Hidrograma de referência </w:t>
      </w:r>
      <w:r>
        <w:rPr>
          <w:b/>
        </w:rPr>
        <w:t>sintético</w:t>
      </w:r>
      <w:r>
        <w:t>; a substituir pela série consistida ANA/CPRM.</w:t>
      </w:r>
    </w:p>
    <w:p>
      <w:pPr>
        <w:pStyle w:val="ListBullet"/>
      </w:pPr>
      <w:r>
        <w:t xml:space="preserve">Curva de frequência </w:t>
      </w:r>
      <w:r>
        <w:rPr>
          <w:b/>
        </w:rPr>
        <w:t>Gumbel ancorada</w:t>
      </w:r>
      <w:r>
        <w:t xml:space="preserve"> no evento de referência, com CV arbitrado em 0,45.</w:t>
      </w:r>
    </w:p>
    <w:p>
      <w:pPr>
        <w:pStyle w:val="ListBullet"/>
      </w:pPr>
      <w:r>
        <w:t xml:space="preserve">Curvas cota-área-volume derivadas de MDE de </w:t>
      </w:r>
      <w:r>
        <w:rPr>
          <w:b/>
        </w:rPr>
        <w:t>28,6 m</w:t>
      </w:r>
      <w:r>
        <w:t xml:space="preserve"> — adequado para triagem, não para projeto.</w:t>
      </w:r>
    </w:p>
    <w:p>
      <w:pPr>
        <w:pStyle w:val="ListBullet"/>
      </w:pPr>
      <w:r>
        <w:t xml:space="preserve">Geometria da barragem por </w:t>
      </w:r>
      <w:r>
        <w:rPr>
          <w:b/>
        </w:rPr>
        <w:t>perfil transversal único</w:t>
      </w:r>
      <w:r>
        <w:t xml:space="preserve"> perpendicular ao escoamento; não substitui levantamento topográfico do sítio.</w:t>
      </w:r>
    </w:p>
    <w:p>
      <w:pPr>
        <w:pStyle w:val="ListBullet"/>
      </w:pPr>
      <w:r>
        <w:rPr>
          <w:b/>
        </w:rPr>
        <w:t>Sem investigação geotécnica</w:t>
      </w:r>
      <w:r>
        <w:t xml:space="preserve"> — a viabilidade da fundação em qualquer dos eixos é desconhecida e pode inviabilizar alturas elevadas.</w:t>
      </w:r>
    </w:p>
    <w:p>
      <w:pPr>
        <w:pStyle w:val="ListBullet"/>
      </w:pPr>
      <w:r>
        <w:rPr>
          <w:b/>
        </w:rPr>
        <w:t>Sem avaliação ambiental ou fundiária</w:t>
      </w:r>
      <w:r>
        <w:t xml:space="preserve"> — 40 a 72 km² de área inundável implicam impactos não quantificados aqui.</w:t>
      </w:r>
    </w:p>
    <w:p>
      <w:pPr>
        <w:pStyle w:val="ListBullet"/>
      </w:pPr>
      <w:r>
        <w:t xml:space="preserve">Custos unitários de </w:t>
      </w:r>
      <w:r>
        <w:rPr>
          <w:b/>
        </w:rPr>
        <w:t>ordem de grandeza</w:t>
      </w:r>
      <w:r>
        <w:t>; não substituem orçamento paramétrico.</w:t>
      </w:r>
    </w:p>
    <w:p>
      <w:pPr>
        <w:pStyle w:val="ListBullet"/>
      </w:pPr>
      <w:r>
        <w:t xml:space="preserve">O roteamento não considera </w:t>
      </w:r>
      <w:r>
        <w:rPr>
          <w:b/>
        </w:rPr>
        <w:t>defasagem temporal</w:t>
      </w:r>
      <w:r>
        <w:t xml:space="preserve"> entre sub-bacias, que o HEC-HMS capturará.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9. Reprodutibilidade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07_python/05_bacias_kmz.py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leitura dos KMZ, delineação D8, curvas CAV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07_python/06_geometria_barragens.py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perfil transversal, crista, aterro, custo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02_R/04_cenarios_kmz.R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comparação KMZ × shapefile, roteamento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02_R/05_analise_alternativas.R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universo de 160 alternativas, EAD, CBA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02_R/06_sensibilidade.R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sensibilidade ao dano e limiar de viabilidade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06_resultados/tabelas/analise_alternativas_completa.csv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resultado completo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06_resultados/tabelas/dano_limiar_viabilidade.csv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limiares de viabilidade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01_dados/gis_derivado/bacias_kmz.gpkg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bacias delineadas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01_dados/gis_derivado/reservatorios_kmz.gpkg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manchas dos reservatórios (30/50/70 m)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