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1F5C8B"/>
        </w:rPr>
        <w:t>Nota Técnica Preliminar — Potencial de barragens de montante na redução dos danos de cheias em Estrela/RS</w:t>
      </w:r>
    </w:p>
    <w:p>
      <w:r>
        <w:rPr>
          <w:b/>
        </w:rPr>
        <w:t>Projeto EUROCLIMA+ / AECID — Componente técnico (SEDEC/MIDR)</w:t>
      </w:r>
    </w:p>
    <w:p>
      <w:r>
        <w:rPr>
          <w:b/>
        </w:rPr>
        <w:t>Elaboração:</w:t>
      </w:r>
      <w:r>
        <w:t xml:space="preserve"> Cássio Rampinelli — COMUC/SEDEC · Julho de 2026</w:t>
      </w:r>
    </w:p>
    <w:p>
      <w:r>
        <w:rPr>
          <w:b/>
        </w:rPr>
        <w:t>Status:</w:t>
      </w:r>
      <w:r>
        <w:t xml:space="preserve"> análise exploratória de ordem de grandeza, destinada a subsidiar a redação do Termo de Referência. </w:t>
      </w:r>
      <w:r>
        <w:rPr>
          <w:b/>
        </w:rPr>
        <w:t>Não substitui</w:t>
      </w:r>
      <w:r>
        <w:t xml:space="preserve"> os estudos a serem contratados.</w:t>
      </w:r>
    </w:p>
    <w:p/>
    <w:p>
      <w:pPr>
        <w:pStyle w:val="Heading2"/>
        <w:jc w:val="left"/>
      </w:pPr>
      <w:r>
        <w:rPr>
          <w:rFonts w:ascii="Calibri" w:hAnsi="Calibri"/>
          <w:color w:val="1F5C8B"/>
        </w:rPr>
        <w:t>1. Objetivo</w:t>
      </w:r>
    </w:p>
    <w:p>
      <w:r>
        <w:t>Responder, em nível de triagem, à pergunta que estrutura o Eixo 3 do estudo:</w:t>
      </w:r>
    </w:p>
    <w:p>
      <w:pPr>
        <w:spacing w:before="120"/>
        <w:ind w:left="454"/>
      </w:pPr>
      <w:r>
        <w:rPr>
          <w:i/>
          <w:color w:val="444444"/>
          <w:sz w:val="19"/>
        </w:rPr>
        <w:t>Quantas barragens, de que porte e com que volume de amortecimento seriam necessárias a montante para evitar — ou reduzir significativamente — os danos de uma cheia equivalente à de maio de 2024 em Estrela/RS?</w:t>
      </w:r>
    </w:p>
    <w:p>
      <w:r>
        <w:t>A resposta condiciona diretamente o escopo, o esforço de modelagem e o preço do contrato.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2. Base de dados utilizada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Resolução / porte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Modelo digital de elevação (</w:t>
            </w:r>
            <w:r>
              <w:rPr>
                <w:rFonts w:ascii="Consolas" w:hAnsi="Consolas"/>
                <w:sz w:val="18"/>
              </w:rPr>
              <w:t>mdr.tif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base do projeto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28,6 m, EPSG:32722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Direções de fluxo D8 (</w:t>
            </w:r>
            <w:r>
              <w:rPr>
                <w:rFonts w:ascii="Consolas" w:hAnsi="Consolas"/>
                <w:sz w:val="18"/>
              </w:rPr>
              <w:t>Fdr.tif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base do projeto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28,6 m, EPSG:31982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Base hidrográfica ottocodificada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BHO/ANA (</w:t>
            </w:r>
            <w:r>
              <w:rPr>
                <w:rFonts w:ascii="Consolas" w:hAnsi="Consolas"/>
                <w:sz w:val="18"/>
              </w:rPr>
              <w:t>Drenagem_Bacia_Taquari.shp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30.459 trechos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Eixos de barragem candidatos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Barragem_A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Barragem_A2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Barragem_B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Série consistida de cotas do Taquari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Moraes, Collischonn, Buffon &amp; Eckhardt (2024)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1939–2023</w:t>
            </w:r>
          </w:p>
        </w:tc>
      </w:tr>
    </w:tbl>
    <w:p/>
    <w:p>
      <w:r>
        <w:t xml:space="preserve">Área de drenagem: </w:t>
      </w:r>
      <w:r>
        <w:rPr>
          <w:b/>
        </w:rPr>
        <w:t>19.440 km²</w:t>
      </w:r>
      <w:r>
        <w:t xml:space="preserve"> no início do trecho modelado (Estrela) e </w:t>
      </w:r>
      <w:r>
        <w:rPr>
          <w:b/>
        </w:rPr>
        <w:t>23.618 km²</w:t>
      </w:r>
      <w:r>
        <w:t xml:space="preserve"> na bacia Taquari-Antas completa.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3. Delineação das bacias contribuintes</w:t>
      </w:r>
    </w:p>
    <w:p>
      <w:r>
        <w:t xml:space="preserve">Delineação por </w:t>
      </w:r>
      <w:r>
        <w:rPr>
          <w:i/>
        </w:rPr>
        <w:t>upstream BFS</w:t>
      </w:r>
      <w:r>
        <w:t xml:space="preserve"> sobre o grafo D8, com </w:t>
      </w:r>
      <w:r>
        <w:rPr>
          <w:i/>
        </w:rPr>
        <w:t>snap</w:t>
      </w:r>
      <w:r>
        <w:t xml:space="preserve"> dos eixos à célula de drenagem cuja área acumulada mais se aproxima da área ottocodificada da BHO. A aderência entre as duas fontes foi excelente (erro &lt; 1%), o que valida a grade de direções de fluxo.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Eixo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Latitude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Longitude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Cota do eixo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Área controlada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% da bacia em Estrela</w:t>
            </w:r>
          </w:p>
        </w:tc>
        <w:tc>
          <w:tcPr>
            <w:tcW w:type="dxa" w:w="1344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Aderência à BHO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BAR-A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−29,16163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−51,83560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47 m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15.760 km²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81,1 %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15.852 km² (−0,6%)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BAR-A2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−29,08147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−51,65664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72 m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12.777 km²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65,7 %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12.877 km² (−0,8%)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BAR-B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−29,05970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−51,71858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72 m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2.549 km²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13,1 %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2.547 km² (+0,1%)</w:t>
            </w:r>
          </w:p>
        </w:tc>
      </w:tr>
    </w:tbl>
    <w:p/>
    <w:p>
      <w:pPr>
        <w:spacing w:before="120"/>
        <w:ind w:left="454"/>
      </w:pPr>
      <w:r>
        <w:rPr>
          <w:b/>
          <w:color w:val="444444"/>
          <w:sz w:val="19"/>
        </w:rPr>
        <w:t>Atenção — os eixos são aninhados.</w:t>
      </w:r>
      <w:r>
        <w:rPr>
          <w:color w:val="444444"/>
          <w:sz w:val="19"/>
        </w:rPr>
        <w:t xml:space="preserve"> BAR-A situa-se a jusante da confluência dos ramos controlados por BAR-A2 e BAR-B. Os volumes </w:t>
      </w:r>
      <w:r>
        <w:rPr>
          <w:b/>
          <w:color w:val="444444"/>
          <w:sz w:val="19"/>
        </w:rPr>
        <w:t>não são aditivos</w:t>
      </w:r>
      <w:r>
        <w:rPr>
          <w:color w:val="444444"/>
          <w:sz w:val="19"/>
        </w:rPr>
        <w:t xml:space="preserve">: BAR-A já engloba as outras duas. A área incremental entre elas é de apenas 433 km². Portanto, as alternativas mutuamente exclusivas reais são: - </w:t>
      </w:r>
      <w:r>
        <w:rPr>
          <w:b/>
          <w:color w:val="444444"/>
          <w:sz w:val="19"/>
        </w:rPr>
        <w:t>(i)</w:t>
      </w:r>
      <w:r>
        <w:rPr>
          <w:color w:val="444444"/>
          <w:sz w:val="19"/>
        </w:rPr>
        <w:t xml:space="preserve"> uma barragem única em BAR-A (81,1% da bacia); </w:t>
      </w:r>
      <w:r>
        <w:rPr>
          <w:b/>
          <w:color w:val="444444"/>
          <w:sz w:val="19"/>
        </w:rPr>
        <w:t>ou</w:t>
      </w:r>
      <w:r>
        <w:rPr>
          <w:color w:val="444444"/>
          <w:sz w:val="19"/>
        </w:rPr>
        <w:t xml:space="preserve"> - </w:t>
      </w:r>
      <w:r>
        <w:rPr>
          <w:b/>
          <w:color w:val="444444"/>
          <w:sz w:val="19"/>
        </w:rPr>
        <w:t>(ii)</w:t>
      </w:r>
      <w:r>
        <w:rPr>
          <w:color w:val="444444"/>
          <w:sz w:val="19"/>
        </w:rPr>
        <w:t xml:space="preserve"> o par BAR-A2 + BAR-B (78,8% da bacia), evitando uma estrutura única de grande porte.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4. Curvas cota-área-volume</w:t>
      </w:r>
    </w:p>
    <w:p>
      <w:r>
        <w:t xml:space="preserve">Obtidas por </w:t>
      </w:r>
      <w:r>
        <w:rPr>
          <w:i/>
        </w:rPr>
        <w:t>flood-fill</w:t>
      </w:r>
      <w:r>
        <w:t xml:space="preserve"> hidraulicamente conectado a montante de cada eixo, sobre o MDE de 28,6 m.</w:t>
      </w:r>
    </w:p>
    <w:p>
      <w:r>
        <w:rPr>
          <w:b/>
        </w:rPr>
        <w:t>Volume armazenado (hm³) por altura de barragem: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Altura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BAR-A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BAR-A2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BAR-B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A2+B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 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44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 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255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 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493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156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56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212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 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788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311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407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 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1.150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502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149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651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70 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1.648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732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216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948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80 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2.231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1.004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1.304</w:t>
            </w:r>
          </w:p>
        </w:tc>
      </w:tr>
    </w:tbl>
    <w:p/>
    <w:p>
      <w:r>
        <w:t>Área alagada correspondente em BAR-A: 26,7 km² a 40 m; 45,2 km² a 60 m; 62,5 km² a 80 m.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5. Volume de amortecimento necessário</w:t>
      </w:r>
    </w:p>
    <w:p>
      <w:r>
        <w:t xml:space="preserve">Evento de referência adotado (a recalibrar com a série consistida): pico de </w:t>
      </w:r>
      <w:r>
        <w:rPr>
          <w:b/>
        </w:rPr>
        <w:t>18.000 m³/s</w:t>
      </w:r>
      <w:r>
        <w:t xml:space="preserve"> em Estrela (0,93 m³/s/km²), lâmina escoada de 260 mm, </w:t>
      </w:r>
      <w:r>
        <w:rPr>
          <w:b/>
        </w:rPr>
        <w:t>volume escoado total de ≈ 5.050 hm³</w:t>
      </w:r>
      <w:r>
        <w:t>, permanência acima de 4.000 m³/s por 116 h.</w:t>
      </w:r>
    </w:p>
    <w:p>
      <w:r>
        <w:t xml:space="preserve">O volume que precisaria ser retirado do hidrograma, </w:t>
      </w:r>
      <w:r>
        <w:rPr>
          <w:rFonts w:ascii="Consolas" w:hAnsi="Consolas"/>
          <w:sz w:val="18"/>
        </w:rPr>
        <w:t>V = ∫ max(0, Q − Q_alvo) dt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Vazão-alvo em Estrela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Redução do pico</w:t>
            </w:r>
          </w:p>
        </w:tc>
        <w:tc>
          <w:tcPr>
            <w:tcW w:type="dxa" w:w="3135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Volume necessário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4.000 m³/s </w:t>
            </w:r>
            <w:r>
              <w:rPr>
                <w:i/>
                <w:sz w:val="18"/>
              </w:rPr>
              <w:t>(sem dano relevante)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78 %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3.230 hm³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6.000 m³/s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67 %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2.462 hm³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8.000 m³/s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56 %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1.811 hm³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9.000 m³/s </w:t>
            </w:r>
            <w:r>
              <w:rPr>
                <w:i/>
                <w:sz w:val="18"/>
              </w:rPr>
              <w:t>(metade do pico)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50 %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1.524 hm³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12.000 m³/s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33 %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798 hm³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5C8B"/>
        </w:rPr>
        <w:t>5.1 Existe um piso físico de redução</w:t>
      </w:r>
    </w:p>
    <w:p>
      <w:r>
        <w:t xml:space="preserve">BAR-A controla 81,1% da bacia. Os </w:t>
      </w:r>
      <w:r>
        <w:rPr>
          <w:b/>
        </w:rPr>
        <w:t>3.680 km² restantes (18,9%)</w:t>
      </w:r>
      <w:r>
        <w:t xml:space="preserve"> continuam produzindo escoamento mesmo com a barragem totalmente fechada — da ordem de </w:t>
      </w:r>
      <w:r>
        <w:rPr>
          <w:b/>
        </w:rPr>
        <w:t>3.400 m³/s</w:t>
      </w:r>
      <w:r>
        <w:t xml:space="preserve"> de pico residual em Estrela. Nenhum arranjo de barragens nesses eixos reduz o pico abaixo desse valor.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6. Amortecimento efetivo — roteamento de Puls</w:t>
      </w:r>
    </w:p>
    <w:p>
      <w:r>
        <w:t>Simulação de piscina nivelada com vertedouro de soleira livre (</w:t>
      </w:r>
      <w:r>
        <w:rPr>
          <w:rFonts w:ascii="Consolas" w:hAnsi="Consolas"/>
          <w:sz w:val="18"/>
        </w:rPr>
        <w:t>Q = 2,1·L·H^1,5</w:t>
      </w:r>
      <w:r>
        <w:t>) e descarga de fundo (</w:t>
      </w:r>
      <w:r>
        <w:rPr>
          <w:rFonts w:ascii="Consolas" w:hAnsi="Consolas"/>
          <w:sz w:val="18"/>
        </w:rPr>
        <w:t>Q = 0,62·A·√(2gh)</w:t>
      </w:r>
      <w:r>
        <w:t xml:space="preserve">). Testados dois arranjos: </w:t>
      </w:r>
      <w:r>
        <w:rPr>
          <w:b/>
        </w:rPr>
        <w:t>convencional</w:t>
      </w:r>
      <w:r>
        <w:t xml:space="preserve"> (soleira a ¾ da altura, reservatório com volume morto) e </w:t>
      </w:r>
      <w:r>
        <w:rPr>
          <w:b/>
        </w:rPr>
        <w:t>seca / *dry dam</w:t>
      </w:r>
      <w:r>
        <w:t>* (reservatório normalmente vazio, descarga de fundo dimensionada para liberar ≈ 4.000 m³/s, vertedouro apenas junto à crista).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Vol. utilizado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Pico em Estrela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Redução</w:t>
            </w:r>
          </w:p>
        </w:tc>
        <w:tc>
          <w:tcPr>
            <w:tcW w:type="dxa" w:w="1881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Saturou?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A1 — BAR-A 40 m convencional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493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18.000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sim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A2 — BAR-A 60 m convencional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1.118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17.016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5,5 %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A3 — BAR-A 80 m convencional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1.712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15.106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16,1 %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B1 — BAR-A2 60 m convencional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489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17.804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1,1 %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B2 — BAR-B 60 m convencional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105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17.976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0,1 %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S1 — BAR-A 60 m seca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1.150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17.518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2,7 %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sim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S2 — BAR-A 80 m seca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2.067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8.303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53,9 %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S3 — BAR-A2 80 m seca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1.004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15.627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13,2 %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sim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S4 — A2 80 m + B 60 m secas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1.152 hm³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17.113 m³/s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4,9 %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sim</w:t>
            </w:r>
          </w:p>
        </w:tc>
      </w:tr>
    </w:tbl>
    <w:p/>
    <w:p>
      <w:r>
        <w:rPr>
          <w:i/>
        </w:rPr>
        <w:t>"Saturou" = o reservatório encheu durante o evento e passou a transferir a cheia integralmente para jusante, perdendo a função de amortecimento.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7. Conclusões preliminares</w:t>
      </w:r>
    </w:p>
    <w:p>
      <w:r>
        <w:rPr>
          <w:b/>
        </w:rPr>
        <w:t>(1) Barragens convencionais são praticamente inócuas para um evento desta magnitude.</w:t>
      </w:r>
      <w:r>
        <w:t xml:space="preserve"> Com vertedouro de soleira livre, a redução de pico fica entre 0% e 16%, mesmo com 80 m de altura. O volume da cheia (≈ 5.050 hm³) é 2 a 10 vezes maior que o volume disponível nos reservatórios.</w:t>
      </w:r>
    </w:p>
    <w:p>
      <w:r>
        <w:rPr>
          <w:b/>
        </w:rPr>
        <w:t>(2) Só o arranjo de barragem seca de grande porte produz efeito relevante.</w:t>
      </w:r>
      <w:r>
        <w:t xml:space="preserve"> BAR-A com 80 m de altura, operada como </w:t>
      </w:r>
      <w:r>
        <w:rPr>
          <w:i/>
        </w:rPr>
        <w:t>dry dam</w:t>
      </w:r>
      <w:r>
        <w:t xml:space="preserve"> (≈ 2.070 hm³ de volume dedicado, 62 km² de área inundável), reduz o pico em ≈ 54% — de 18.000 para 8.300 m³/s.</w:t>
      </w:r>
    </w:p>
    <w:p>
      <w:r>
        <w:rPr>
          <w:b/>
        </w:rPr>
        <w:t>(3) Ainda assim, isso não evita os danos da cheia de 2024.</w:t>
      </w:r>
      <w:r>
        <w:t xml:space="preserve"> Os 8.300 m³/s residuais continuam muito acima da vazão sem dano relevante (ordem de 4.000 m³/s). Para chegar lá seriam necessários ≈ 3.230 hm³ de amortecimento — </w:t>
      </w:r>
      <w:r>
        <w:rPr>
          <w:b/>
        </w:rPr>
        <w:t>acima da capacidade física do melhor eixo, mesmo com 80 m de altura</w:t>
      </w:r>
      <w:r>
        <w:t>.</w:t>
      </w:r>
    </w:p>
    <w:p>
      <w:r>
        <w:rPr>
          <w:b/>
        </w:rPr>
        <w:t>(4) O par BAR-A2 + BAR-B é claramente inferior a BAR-A isolada.</w:t>
      </w:r>
      <w:r>
        <w:t xml:space="preserve"> Controla área semelhante (78,8% vs. 81,1%), mas dispõe de apenas 1.304 hm³ contra 2.231 hm³ a 80 m, por causa da geometria dos vales. Ambos saturam no evento de referência.</w:t>
      </w:r>
    </w:p>
    <w:p>
      <w:r>
        <w:rPr>
          <w:b/>
        </w:rPr>
        <w:t>(5) Consequência para o Termo de Referência.</w:t>
      </w:r>
      <w:r>
        <w:t xml:space="preserve"> A hipótese "construir barragens a montante resolve o problema de Estrela" </w:t>
      </w:r>
      <w:r>
        <w:rPr>
          <w:b/>
        </w:rPr>
        <w:t>não se sustenta isoladamente</w:t>
      </w:r>
      <w:r>
        <w:t>. O TR deve, portanto:</w:t>
      </w:r>
    </w:p>
    <w:p>
      <w:pPr>
        <w:pStyle w:val="ListBullet"/>
      </w:pPr>
      <w:r>
        <w:t xml:space="preserve">enquadrar o Eixo 3 como </w:t>
      </w:r>
      <w:r>
        <w:rPr>
          <w:b/>
        </w:rPr>
        <w:t>análise comparativa de alternativas híbridas</w:t>
      </w:r>
      <w:r>
        <w:t xml:space="preserve"> (barragens + diques + realocação + controle de uso do solo + alerta precoce), e </w:t>
      </w:r>
      <w:r>
        <w:rPr>
          <w:b/>
        </w:rPr>
        <w:t>não</w:t>
      </w:r>
      <w:r>
        <w:t xml:space="preserve"> como projeto de barragens;</w:t>
      </w:r>
    </w:p>
    <w:p>
      <w:pPr>
        <w:pStyle w:val="ListBullet"/>
      </w:pPr>
      <w:r>
        <w:t xml:space="preserve">exigir explicitamente o cálculo do </w:t>
      </w:r>
      <w:r>
        <w:rPr>
          <w:b/>
        </w:rPr>
        <w:t>volume de amortecimento necessário</w:t>
      </w:r>
      <w:r>
        <w:t xml:space="preserve"> e a </w:t>
      </w:r>
      <w:r>
        <w:rPr>
          <w:b/>
        </w:rPr>
        <w:t>verificação de saturação do reservatório</w:t>
      </w:r>
      <w:r>
        <w:t xml:space="preserve"> para o evento de referência, com curvas cota-área-volume derivadas de MDE;</w:t>
      </w:r>
    </w:p>
    <w:p>
      <w:pPr>
        <w:pStyle w:val="ListBullet"/>
      </w:pPr>
      <w:r>
        <w:t xml:space="preserve">exigir a </w:t>
      </w:r>
      <w:r>
        <w:rPr>
          <w:b/>
        </w:rPr>
        <w:t>decomposição controlado / não-controlado</w:t>
      </w:r>
      <w:r>
        <w:t xml:space="preserve"> da bacia, de modo a explicitar o piso físico de redução;</w:t>
      </w:r>
    </w:p>
    <w:p>
      <w:pPr>
        <w:pStyle w:val="ListBullet"/>
      </w:pPr>
      <w:r>
        <w:t xml:space="preserve">tratar a </w:t>
      </w:r>
      <w:r>
        <w:rPr>
          <w:b/>
        </w:rPr>
        <w:t>operação do reservatório</w:t>
      </w:r>
      <w:r>
        <w:t xml:space="preserve"> (barragem seca, comportas, pré-deplecionamento) como variável de projeto, não como detalhe;</w:t>
      </w:r>
    </w:p>
    <w:p>
      <w:pPr>
        <w:pStyle w:val="ListBullet"/>
      </w:pPr>
      <w:r>
        <w:t xml:space="preserve">incorporar a </w:t>
      </w:r>
      <w:r>
        <w:rPr>
          <w:b/>
        </w:rPr>
        <w:t>análise custo-benefício</w:t>
      </w:r>
      <w:r>
        <w:t xml:space="preserve"> com curvas cota-dano, único critério capaz de arbitrar entre uma estrutura de 80 m de altura e um conjunto de medidas distribuídas.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8. Limitações desta análise</w:t>
      </w:r>
    </w:p>
    <w:p>
      <w:r>
        <w:t>Esta é uma triagem de ordem de grandeza. Especificamente:</w:t>
      </w:r>
    </w:p>
    <w:p>
      <w:pPr>
        <w:pStyle w:val="ListBullet"/>
      </w:pPr>
      <w:r>
        <w:t xml:space="preserve">o hidrograma de referência é </w:t>
      </w:r>
      <w:r>
        <w:rPr>
          <w:b/>
        </w:rPr>
        <w:t>sintético</w:t>
      </w:r>
      <w:r>
        <w:t xml:space="preserve"> (gama de 2 parâmetros), ancorado em pico e lâmina escoada plausíveis; </w:t>
      </w:r>
      <w:r>
        <w:rPr>
          <w:b/>
        </w:rPr>
        <w:t>deve ser substituído</w:t>
      </w:r>
      <w:r>
        <w:t xml:space="preserve"> pela série consistida ANA/CPRM do evento;</w:t>
      </w:r>
    </w:p>
    <w:p>
      <w:pPr>
        <w:pStyle w:val="ListBullet"/>
      </w:pPr>
      <w:r>
        <w:t xml:space="preserve">a decomposição controlado/não-controlado é </w:t>
      </w:r>
      <w:r>
        <w:rPr>
          <w:b/>
        </w:rPr>
        <w:t>proporcional à área</w:t>
      </w:r>
      <w:r>
        <w:t>, ignorando o defasamento temporal entre sub-bacias — o que o HEC-HMS capturará;</w:t>
      </w:r>
    </w:p>
    <w:p>
      <w:pPr>
        <w:pStyle w:val="ListBullet"/>
      </w:pPr>
      <w:r>
        <w:t xml:space="preserve">as curvas cota-área-volume vêm de MDE de </w:t>
      </w:r>
      <w:r>
        <w:rPr>
          <w:b/>
        </w:rPr>
        <w:t>28,6 m</w:t>
      </w:r>
      <w:r>
        <w:t>, adequado para triagem mas não para projeto;</w:t>
      </w:r>
    </w:p>
    <w:p>
      <w:pPr>
        <w:pStyle w:val="ListBullet"/>
      </w:pPr>
      <w:r>
        <w:t xml:space="preserve">não há verificação </w:t>
      </w:r>
      <w:r>
        <w:rPr>
          <w:b/>
        </w:rPr>
        <w:t>geotécnica, ambiental, fundiária ou de segurança de barragens</w:t>
      </w:r>
      <w:r>
        <w:t xml:space="preserve"> dos eixos; a área alagada de 62 km² em BAR-A implica desapropriações e possível remoção de população;</w:t>
      </w:r>
    </w:p>
    <w:p>
      <w:pPr>
        <w:pStyle w:val="ListBullet"/>
      </w:pPr>
      <w:r>
        <w:t xml:space="preserve">o limiar de "vazão sem dano relevante" (4.000 m³/s) é </w:t>
      </w:r>
      <w:r>
        <w:rPr>
          <w:b/>
        </w:rPr>
        <w:t>estimado</w:t>
      </w:r>
      <w:r>
        <w:t xml:space="preserve"> e deve ser determinado pela modelagem hidráulica 2D com o cadastro de edificações.</w:t>
      </w:r>
    </w:p>
    <w:p>
      <w:pPr>
        <w:pStyle w:val="Heading2"/>
        <w:jc w:val="left"/>
      </w:pPr>
      <w:r>
        <w:rPr>
          <w:rFonts w:ascii="Calibri" w:hAnsi="Calibri"/>
          <w:color w:val="1F5C8B"/>
        </w:rPr>
        <w:t>9. Reprodutibilidade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703"/>
            <w:shd w:val="clear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07_python/02_bacias_barragens.py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delineação D8, acumulação de fluxo, curvas CAV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02_R/00_config.R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parâmetros da bacia, eixos, limiares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02_R/01_baixa_dados_ana.R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download das séries ANA/HidroWeb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02_R/02_volume_amortecimento.R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volume necessário, piso físico, altura requerida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02_R/03_roteamento_puls.R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roteamento de reservatório, cenários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01_dados/gis_derivado/bacias_barragens.gpkg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bacias delineadas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01_dados/gis_derivado/reservatorios_barragens.gpkg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manchas dos reservatórios (20/30/40 m)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01_dados/cav/cav_barragens.csv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curvas cota-área-volume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5C8B"/>
        </w:rPr>
        <w:t>Referência</w:t>
      </w:r>
    </w:p>
    <w:p>
      <w:r>
        <w:t xml:space="preserve">MORAES, S. R.; COLLISCHONN, W.; BUFFON, F. T.; ECKHARDT, R. R. </w:t>
      </w:r>
      <w:r>
        <w:rPr>
          <w:i/>
        </w:rPr>
        <w:t>Revisão e consolidação da série histórica dos níveis das cheias do rio Taquari em Lajeado de 1939 a 2023.</w:t>
      </w:r>
      <w:r>
        <w:t xml:space="preserve"> Porto Alegre, 2024. Nota técnica.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