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/>
          <w:color w:val="1F5C8B"/>
        </w:rPr>
        <w:t>Plano de Ação — Fechamento do TR e Simulações Preliminares</w:t>
      </w:r>
    </w:p>
    <w:p>
      <w:r>
        <w:rPr>
          <w:b/>
        </w:rPr>
        <w:t>Projeto EUROCLIMA+ / AECID — Estudo técnico Estrela/RS</w:t>
      </w:r>
    </w:p>
    <w:p>
      <w:r>
        <w:t>Atualizado em 30/07/2026</w:t>
      </w:r>
    </w:p>
    <w:p/>
    <w:p>
      <w:pPr>
        <w:pStyle w:val="Heading2"/>
        <w:jc w:val="left"/>
      </w:pPr>
      <w:r>
        <w:rPr>
          <w:rFonts w:ascii="Calibri" w:hAnsi="Calibri"/>
          <w:color w:val="1F5C8B"/>
        </w:rPr>
        <w:t>Situação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Macro Logframe (plano de trabalho)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 fechado em 20/07/2027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Ficha de Formulação (PT/ES)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 fechada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Anexo II — Presupuesto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 fechado (€ 300.000)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Descritivo das Atividades (5 eixos)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 redigido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Base GIS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⚠️ existe, mas com CRS heterogêneos e nomenclatura duplicada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 REV. 0A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⚠️ seções 1–4.1 boas; 3.2 em diante era resíduo de outro projeto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 REV. 0B (minuta)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redigida — `06_resultados/TR_MINUTA_REV0B.md`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Delineação das barragens + curvas CAV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 concluída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Simulação preliminar de amortecimento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 concluída (Puls)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Modelo HEC-RAS 2D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⏳ a montar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FloodAdapt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⏳ a montar</w:t>
            </w:r>
          </w:p>
        </w:tc>
      </w:tr>
    </w:tbl>
    <w:p/>
    <w:p/>
    <w:p>
      <w:pPr>
        <w:pStyle w:val="Heading2"/>
        <w:jc w:val="left"/>
      </w:pPr>
      <w:r>
        <w:rPr>
          <w:rFonts w:ascii="Calibri" w:hAnsi="Calibri"/>
          <w:color w:val="1F5C8B"/>
        </w:rPr>
        <w:t>FASE 1 — Fechar o TR (esforço: 3 a 5 dias)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1.1 Decidir os 10 pontos abertos</w:t>
      </w:r>
    </w:p>
    <w:p>
      <w:r>
        <w:t xml:space="preserve">Estão listados no apêndice da minuta. </w:t>
      </w:r>
      <w:r>
        <w:rPr>
          <w:b/>
        </w:rPr>
        <w:t>Os três primeiros são os críticos</w:t>
      </w:r>
      <w:r>
        <w:t xml:space="preserve"> — determinam o preço do Eixo 1, que é 49% do contrato: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Divergência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Descritivo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Base GIS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Trecho de modelagem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40 km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51,7 km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Sub-trecho refinado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 km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35,9 km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Área do voo LiDAR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16 km²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24,2 / 48,2 / 139,4 km²</w:t>
            </w:r>
          </w:p>
        </w:tc>
      </w:tr>
    </w:tbl>
    <w:p/>
    <w:p>
      <w:r>
        <w:rPr>
          <w:b/>
        </w:rPr>
        <w:t>Recomendação:</w:t>
      </w:r>
      <w:r>
        <w:t xml:space="preserve"> medir a extensão real do trecho urbano crítico em Estrela e fixar. Um voo LiDAR de 139 km² a 20 pts/m² custa da ordem de 4 a 8× um voo de 16 km² — a diferença sozinha pode inviabilizar o orçamento de € 133.875.</w:t>
      </w:r>
    </w:p>
    <w:p>
      <w:r>
        <w:rPr>
          <w:b/>
        </w:rPr>
        <w:t>Ação:</w:t>
      </w:r>
      <w:r>
        <w:t xml:space="preserve"> abrir </w:t>
      </w:r>
      <w:r>
        <w:rPr>
          <w:rFonts w:ascii="Consolas" w:hAnsi="Consolas"/>
          <w:sz w:val="18"/>
        </w:rPr>
        <w:t>Trecho Modelagem.shp</w:t>
      </w:r>
      <w:r>
        <w:t xml:space="preserve">, </w:t>
      </w:r>
      <w:r>
        <w:rPr>
          <w:rFonts w:ascii="Consolas" w:hAnsi="Consolas"/>
          <w:sz w:val="18"/>
        </w:rPr>
        <w:t>Refinamento.shp</w:t>
      </w:r>
      <w:r>
        <w:t xml:space="preserve"> e os polígonos de levantamento no QGIS, decidir o recorte definitivo, salvar como </w:t>
      </w:r>
      <w:r>
        <w:rPr>
          <w:rFonts w:ascii="Consolas" w:hAnsi="Consolas"/>
          <w:sz w:val="18"/>
        </w:rPr>
        <w:t>AREA_ESTUDO_DEFINITIVA.gpkg</w:t>
      </w:r>
      <w:r>
        <w:t xml:space="preserve"> e anexar ao TR como vinculante.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1.2 Sanear a divergência orçamentária de € 1.375</w:t>
      </w:r>
    </w:p>
    <w:p>
      <w:r>
        <w:t xml:space="preserve">Presupuesto: € 273.875 · Logframe (aba </w:t>
      </w:r>
      <w:r>
        <w:rPr>
          <w:i/>
        </w:rPr>
        <w:t>Actividades-Español</w:t>
      </w:r>
      <w:r>
        <w:t>): € 272.500. Fixar um valor.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1.3 Consolidar a base GIS</w:t>
      </w:r>
    </w:p>
    <w:p>
      <w:r>
        <w:t xml:space="preserve">Harmonizar tudo em </w:t>
      </w:r>
      <w:r>
        <w:rPr>
          <w:b/>
        </w:rPr>
        <w:t>EPSG:31982</w:t>
      </w:r>
      <w:r>
        <w:t xml:space="preserve">. Hoje convivem EPSG:31983 (os três eixos de barragem), 32722, 20822 (Aratu — datum obsoleto) e arquivos sem CRS. Script pronto em </w:t>
      </w:r>
      <w:r>
        <w:rPr>
          <w:rFonts w:ascii="Consolas" w:hAnsi="Consolas"/>
          <w:sz w:val="18"/>
        </w:rPr>
        <w:t>07_python/</w:t>
      </w:r>
      <w:r>
        <w:t>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1.4 Revisar e converter a minuta</w:t>
      </w:r>
    </w:p>
    <w:p>
      <w:r>
        <w:t xml:space="preserve">Ler </w:t>
      </w:r>
      <w:r>
        <w:rPr>
          <w:rFonts w:ascii="Consolas" w:hAnsi="Consolas"/>
          <w:sz w:val="18"/>
        </w:rPr>
        <w:t>TR_MINUTA_REV0B.md</w:t>
      </w:r>
      <w:r>
        <w:t xml:space="preserve">, ajustar, e gerar o DOCX final com a identidade visual do EUROCLIMA+ (logos já disponíveis em </w:t>
      </w:r>
      <w:r>
        <w:rPr>
          <w:rFonts w:ascii="Consolas" w:hAnsi="Consolas"/>
          <w:sz w:val="18"/>
        </w:rPr>
        <w:t>Espanha/logos/</w:t>
      </w:r>
      <w:r>
        <w:t>).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1.5 Anexar a Nota Técnica Preliminar</w:t>
      </w:r>
    </w:p>
    <w:p>
      <w:r>
        <w:rPr>
          <w:rFonts w:ascii="Consolas" w:hAnsi="Consolas"/>
          <w:sz w:val="18"/>
        </w:rPr>
        <w:t>06_resultados/NOTA_TECNICA_PRELIMINAR_BARRAGENS.md</w:t>
      </w:r>
      <w:r>
        <w:t xml:space="preserve"> como ANEXO VII. É o que justifica tecnicamente o enquadramento do Eixo 3 como análise de alternativas híbridas.</w:t>
      </w:r>
    </w:p>
    <w:p/>
    <w:p>
      <w:pPr>
        <w:pStyle w:val="Heading2"/>
        <w:jc w:val="left"/>
      </w:pPr>
      <w:r>
        <w:rPr>
          <w:rFonts w:ascii="Calibri" w:hAnsi="Calibri"/>
          <w:color w:val="1F5C8B"/>
        </w:rPr>
        <w:t>FASE 2 — Consolidar a hidrologia (esforço: 2 a 4 dias)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2.1 Baixar as séries da ANA</w:t>
      </w:r>
    </w:p>
    <w:p>
      <w:r>
        <w:t>```bash</w:t>
      </w:r>
    </w:p>
    <w:p>
      <w:r>
        <w:t>Rscript 02_R/01_baixa_dados_ana.R</w:t>
      </w:r>
    </w:p>
    <w:p>
      <w:r>
        <w:rPr>
          <w:rFonts w:ascii="Consolas" w:hAnsi="Consolas"/>
          <w:sz w:val="18"/>
        </w:rPr>
        <w:t>`</w:t>
      </w:r>
    </w:p>
    <w:p>
      <w:r>
        <w:t>Postos configurados: 86870000 (Lajeado antigo), 86879300 (Estrela/Lajeado atual), 86510000 (Muçum), 86720000 (Encantado), 86560000, 86440000.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2.2 Digitalizar a série consistida da UFRGS</w:t>
      </w:r>
    </w:p>
    <w:p>
      <w:r>
        <w:t xml:space="preserve">A nota técnica de Moraes, Collischonn, Buffon &amp; Eckhardt (2024) — em </w:t>
      </w:r>
      <w:r>
        <w:rPr>
          <w:rFonts w:ascii="Consolas" w:hAnsi="Consolas"/>
          <w:sz w:val="18"/>
        </w:rPr>
        <w:t>Referencias/revisao_consolidacao_serie_historica_rio_taquari_lajeado.pdf</w:t>
      </w:r>
      <w:r>
        <w:t xml:space="preserve"> — traz a série consistida de cotas máximas anuais de 1939 a 2023 (seções 8 e 9). </w:t>
      </w:r>
      <w:r>
        <w:rPr>
          <w:b/>
        </w:rPr>
        <w:t>É a melhor base disponível</w:t>
      </w:r>
      <w:r>
        <w:t xml:space="preserve"> e resolve a inconsistência entre marcas físicas e observações sistemáticas. Digitalizar as tabelas e salvar em </w:t>
      </w:r>
      <w:r>
        <w:rPr>
          <w:rFonts w:ascii="Consolas" w:hAnsi="Consolas"/>
          <w:sz w:val="18"/>
        </w:rPr>
        <w:t>01_dados/serie_consistida_lajeado.csv</w:t>
      </w:r>
      <w:r>
        <w:t>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2.3 Recalibrar o hidrograma de referência</w:t>
      </w:r>
    </w:p>
    <w:p>
      <w:r>
        <w:t xml:space="preserve">Substituir os parâmetros em </w:t>
      </w:r>
      <w:r>
        <w:rPr>
          <w:rFonts w:ascii="Consolas" w:hAnsi="Consolas"/>
          <w:sz w:val="18"/>
        </w:rPr>
        <w:t>02_R/02_volume_amortecimento.R</w:t>
      </w:r>
      <w:r>
        <w:t>:</w:t>
      </w:r>
    </w:p>
    <w:p>
      <w:r>
        <w:t>```r</w:t>
      </w:r>
    </w:p>
    <w:p>
      <w:r>
        <w:t>PAR_EVENTO &lt;- list(q_pico = ..., lamina_mm = ..., q_base = ...)</w:t>
      </w:r>
    </w:p>
    <w:p>
      <w:r>
        <w:rPr>
          <w:rFonts w:ascii="Consolas" w:hAnsi="Consolas"/>
          <w:sz w:val="18"/>
        </w:rPr>
        <w:t>`</w:t>
      </w:r>
    </w:p>
    <w:p>
      <w:r>
        <w:t>pelos valores derivados do evento real de maio/2024. Rodar novamente 02 e 03 — todas as conclusões se atualizam automaticamente.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2.4 Curva-chave em Estrela</w:t>
      </w:r>
    </w:p>
    <w:p>
      <w:r>
        <w:t xml:space="preserve">Estabelecer a relação cota × vazão no posto 86879300 para converter as cotas históricas (incluindo 29,92 m de 1941 e as marcas de 2023/2024) em vazões. Sem isso, o </w:t>
      </w:r>
      <w:r>
        <w:rPr>
          <w:rFonts w:ascii="Consolas" w:hAnsi="Consolas"/>
          <w:sz w:val="18"/>
        </w:rPr>
        <w:t>Q_SEGURA = 4.000 m³/s</w:t>
      </w:r>
      <w:r>
        <w:t xml:space="preserve"> permanece uma estimativa.</w:t>
      </w:r>
    </w:p>
    <w:p/>
    <w:p>
      <w:pPr>
        <w:pStyle w:val="Heading2"/>
        <w:jc w:val="left"/>
      </w:pPr>
      <w:r>
        <w:rPr>
          <w:rFonts w:ascii="Calibri" w:hAnsi="Calibri"/>
          <w:color w:val="1F5C8B"/>
        </w:rPr>
        <w:t>FASE 3 — Modelo HEC-RAS 2D preliminar (esforço: 5 a 8 dias)</w:t>
      </w:r>
    </w:p>
    <w:p>
      <w:r>
        <w:t xml:space="preserve">Versões instaladas: </w:t>
      </w:r>
      <w:r>
        <w:rPr>
          <w:b/>
        </w:rPr>
        <w:t>HEC-RAS 6.3.1 e 7.0.1</w:t>
      </w:r>
      <w:r>
        <w:t xml:space="preserve">; </w:t>
      </w:r>
      <w:r>
        <w:rPr>
          <w:b/>
        </w:rPr>
        <w:t>HEC-HMS 4.11 e 4.13</w:t>
      </w:r>
      <w:r>
        <w:t>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3.1 Preparar o terreno</w:t>
      </w:r>
    </w:p>
    <w:p>
      <w:r>
        <w:rPr>
          <w:rFonts w:ascii="Consolas" w:hAnsi="Consolas"/>
          <w:sz w:val="18"/>
        </w:rPr>
        <w:t>`</w:t>
      </w:r>
    </w:p>
    <w:p>
      <w:r>
        <w:t>Entrada:  GIS/raster/mdr.tif (28,6 m, EPSG:32722)</w:t>
      </w:r>
    </w:p>
    <w:p>
      <w:r>
        <w:t>Saída:    03_HECRAS/Terrain/estrela_terrain.tif  (EPSG:31982)</w:t>
      </w:r>
    </w:p>
    <w:p>
      <w:r>
        <w:rPr>
          <w:rFonts w:ascii="Consolas" w:hAnsi="Consolas"/>
          <w:sz w:val="18"/>
        </w:rPr>
        <w:t>`</w:t>
      </w:r>
    </w:p>
    <w:p>
      <w:r>
        <w:t xml:space="preserve">Para a etapa preliminar o MDE de 28,6 m basta para o trecho estendido. Para o trecho urbano, usar o melhor MDE disponível até que o LiDAR do Eixo 1 seja executado — verificar se o </w:t>
      </w:r>
      <w:r>
        <w:rPr>
          <w:b/>
        </w:rPr>
        <w:t>ANADEM</w:t>
      </w:r>
      <w:r>
        <w:t xml:space="preserve"> (30 m, corrigido para vegetação) melhora o resultado em relação ao </w:t>
      </w:r>
      <w:r>
        <w:rPr>
          <w:rFonts w:ascii="Consolas" w:hAnsi="Consolas"/>
          <w:sz w:val="18"/>
        </w:rPr>
        <w:t>mdr.tif</w:t>
      </w:r>
      <w:r>
        <w:t>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3.2 Geometria</w:t>
      </w:r>
    </w:p>
    <w:p>
      <w:pPr>
        <w:pStyle w:val="ListBullet"/>
      </w:pPr>
      <w:r>
        <w:rPr>
          <w:b/>
        </w:rPr>
        <w:t>Malha 2D</w:t>
      </w:r>
      <w:r>
        <w:t>: célula de 100 m no trecho estendido; refinamento para 20–30 m na área urbana de Estrela.</w:t>
      </w:r>
    </w:p>
    <w:p>
      <w:pPr>
        <w:pStyle w:val="ListBullet"/>
      </w:pPr>
      <w:r>
        <w:rPr>
          <w:b/>
        </w:rPr>
        <w:t>Breaklines</w:t>
      </w:r>
      <w:r>
        <w:t xml:space="preserve"> obrigatórias: eixo do rio, topo dos diques/aterros, BR-386, ferrovia, ruas principais dos bairros Moinhos, Indústrias e Centro.</w:t>
      </w:r>
    </w:p>
    <w:p>
      <w:pPr>
        <w:pStyle w:val="ListBullet"/>
      </w:pPr>
      <w:r>
        <w:rPr>
          <w:b/>
        </w:rPr>
        <w:t>Manning</w:t>
      </w:r>
      <w:r>
        <w:t>: 0,030 no canal; 0,060 em planície de vegetação; 0,15 em área urbana consolidada — ou uso do MapBiomas para espacializar.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3.3 Condições de contorno</w:t>
      </w:r>
    </w:p>
    <w:p>
      <w:pPr>
        <w:pStyle w:val="ListBullet"/>
      </w:pPr>
      <w:r>
        <w:rPr>
          <w:b/>
        </w:rPr>
        <w:t>Montante</w:t>
      </w:r>
      <w:r>
        <w:t>: hidrograma no limite montante (</w:t>
      </w:r>
      <w:r>
        <w:rPr>
          <w:rFonts w:ascii="Consolas" w:hAnsi="Consolas"/>
          <w:sz w:val="18"/>
        </w:rPr>
        <w:t>LimiteMontante.shp</w:t>
      </w:r>
      <w:r>
        <w:t>, −29,3764 / −51,8790).</w:t>
      </w:r>
    </w:p>
    <w:p>
      <w:pPr>
        <w:pStyle w:val="ListBullet"/>
      </w:pPr>
      <w:r>
        <w:rPr>
          <w:b/>
        </w:rPr>
        <w:t>Laterais</w:t>
      </w:r>
      <w:r>
        <w:t>: hidrogramas dos afluentes já delineados — Rio Forqueta (2.845 km²), Arroio Boa Vista (576 km²), Arroio Estrela (241 km²), Arroio Sampaio (255 km²).</w:t>
      </w:r>
    </w:p>
    <w:p>
      <w:pPr>
        <w:pStyle w:val="ListBullet"/>
      </w:pPr>
      <w:r>
        <w:rPr>
          <w:b/>
        </w:rPr>
        <w:t>Jusante</w:t>
      </w:r>
      <w:r>
        <w:t xml:space="preserve">: </w:t>
      </w:r>
      <w:r>
        <w:rPr>
          <w:i/>
        </w:rPr>
        <w:t>normal depth</w:t>
      </w:r>
      <w:r>
        <w:t xml:space="preserve"> com declividade do trecho, ou curva-chave se disponível. Atenção ao remanso do Guaíba/Lago em eventos extremos.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3.4 Plano de simulação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Plano</w:t>
            </w:r>
          </w:p>
        </w:tc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Cenário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P00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Calibração — evento de maio/2024, situação atual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P01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 100 anos, situação atual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P02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 100 anos + BAR-A 80 m seca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P03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 100 anos + BAR-A2 + BAR-B secas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P04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Evento 2024 + BAR-A 80 m seca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P05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Evento 2024 + diques na área urbana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P06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Evento 2024 + arranjo híbrido</w:t>
            </w:r>
          </w:p>
        </w:tc>
      </w:tr>
    </w:tbl>
    <w:p/>
    <w:p>
      <w:r>
        <w:t xml:space="preserve">Nos planos com barragem, aplicar como condição de contorno de montante o </w:t>
      </w:r>
      <w:r>
        <w:rPr>
          <w:b/>
        </w:rPr>
        <w:t>hidrograma efluente</w:t>
      </w:r>
      <w:r>
        <w:t xml:space="preserve"> já calculado por </w:t>
      </w:r>
      <w:r>
        <w:rPr>
          <w:rFonts w:ascii="Consolas" w:hAnsi="Consolas"/>
          <w:sz w:val="18"/>
        </w:rPr>
        <w:t>03_roteamento_puls.R</w:t>
      </w:r>
      <w:r>
        <w:t xml:space="preserve"> (saída em </w:t>
      </w:r>
      <w:r>
        <w:rPr>
          <w:rFonts w:ascii="Consolas" w:hAnsi="Consolas"/>
          <w:sz w:val="18"/>
        </w:rPr>
        <w:t>06_resultados/tabelas/</w:t>
      </w:r>
      <w:r>
        <w:t>), evitando modelar a estrutura no HEC-RAS nesta etapa preliminar.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3.5 Calibração</w:t>
      </w:r>
    </w:p>
    <w:p>
      <w:r>
        <w:t>Alvo: reproduzir a mancha de maio/2024. Referências disponíveis:</w:t>
      </w:r>
    </w:p>
    <w:p>
      <w:pPr>
        <w:pStyle w:val="ListBullet"/>
      </w:pPr>
      <w:r>
        <w:rPr>
          <w:rFonts w:ascii="Consolas" w:hAnsi="Consolas"/>
          <w:sz w:val="18"/>
        </w:rPr>
        <w:t>GIS/shapefiles/mancha_v3_1.shp</w:t>
      </w:r>
      <w:r>
        <w:t xml:space="preserve"> (24.459 polígonos, mancha RS 2024);</w:t>
      </w:r>
    </w:p>
    <w:p>
      <w:pPr>
        <w:pStyle w:val="ListBullet"/>
      </w:pPr>
      <w:r>
        <w:rPr>
          <w:rFonts w:ascii="Consolas" w:hAnsi="Consolas"/>
          <w:sz w:val="18"/>
        </w:rPr>
        <w:t>Documentos EUROCLIMA+/Espanha/05_MAPA_DE_PERIGO_A_INUNDACAO_PARA_O_RS/</w:t>
      </w:r>
      <w:r>
        <w:t xml:space="preserve"> (raster HAND/MGB unificado);</w:t>
      </w:r>
    </w:p>
    <w:p>
      <w:pPr>
        <w:pStyle w:val="ListBullet"/>
      </w:pPr>
      <w:r>
        <w:t>marcas de cheia da nota técnica da UFRGS.</w:t>
      </w:r>
    </w:p>
    <w:p>
      <w:r>
        <w:t xml:space="preserve">Métrica: </w:t>
      </w:r>
      <w:r>
        <w:rPr>
          <w:i/>
        </w:rPr>
        <w:t>Critical Success Index</w:t>
      </w:r>
      <w:r>
        <w:t xml:space="preserve"> entre mancha simulada e observada.</w:t>
      </w:r>
    </w:p>
    <w:p/>
    <w:p>
      <w:pPr>
        <w:pStyle w:val="Heading2"/>
        <w:jc w:val="left"/>
      </w:pPr>
      <w:r>
        <w:rPr>
          <w:rFonts w:ascii="Calibri" w:hAnsi="Calibri"/>
          <w:color w:val="1F5C8B"/>
        </w:rPr>
        <w:t>FASE 4 — FloodAdapt (esforço: 4 a 6 dias)</w:t>
      </w:r>
    </w:p>
    <w:p>
      <w:r>
        <w:t xml:space="preserve">O FloodAdapt (Deltares) é a ferramenta adequada para a </w:t>
      </w:r>
      <w:r>
        <w:rPr>
          <w:b/>
        </w:rPr>
        <w:t>análise de alternativas e custo-benefício</w:t>
      </w:r>
      <w:r>
        <w:t xml:space="preserve"> do Eixo 3 — que é exatamente o que o TR precisa dimensionar. Ele consome resultados de modelo hidrodinâmico e cruza com exposição e funções de dano.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4.1 O que o FloodAdapt exige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Modelo hidrodinâmico (SFINCS)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⏳ a construir — o FloodAdapt usa SFINCS, não HEC-RAS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Exposição de edificações (FIAT)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⏳ derivar do cadastro; provisoriamente OpenStreetMap + CNEFE/IBGE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Funções de dano por tipologia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⏳ adaptar — as </w:t>
            </w:r>
            <w:r>
              <w:rPr>
                <w:i/>
                <w:sz w:val="18"/>
              </w:rPr>
              <w:t>default</w:t>
            </w:r>
            <w:r>
              <w:rPr>
                <w:sz w:val="18"/>
              </w:rPr>
              <w:t xml:space="preserve"> são dos EUA (USACE/HAZUS)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Valor de reposição das edificações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⏳ usar SINAPI/CUB-RS por tipologia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Modelo digital de elevação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sz w:val="18"/>
              </w:rPr>
              <w:t>mdr.tif</w:t>
            </w:r>
            <w:r>
              <w:rPr>
                <w:sz w:val="18"/>
              </w:rPr>
              <w:t xml:space="preserve"> (preliminar)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5C8B"/>
        </w:rPr>
        <w:t>4.2 Estratégia recomendada</w:t>
      </w:r>
    </w:p>
    <w:p>
      <w:r>
        <w:rPr>
          <w:b/>
        </w:rPr>
        <w:t>Não tente rodar FloodAdapt completo nesta etapa preliminar.</w:t>
      </w:r>
      <w:r>
        <w:t xml:space="preserve"> O caminho eficiente é:</w:t>
      </w:r>
    </w:p>
    <w:p>
      <w:pPr>
        <w:pStyle w:val="ListNumber"/>
      </w:pPr>
      <w:r>
        <w:rPr>
          <w:b/>
        </w:rPr>
        <w:t>Agora (preliminar):</w:t>
      </w:r>
      <w:r>
        <w:t xml:space="preserve"> HEC-RAS 2D para as manchas + planilha de curvas cota-dano em R para a CBA. Suficiente para calibrar o TR.</w:t>
      </w:r>
    </w:p>
    <w:p>
      <w:pPr>
        <w:pStyle w:val="ListNumber"/>
      </w:pPr>
      <w:r>
        <w:rPr>
          <w:b/>
        </w:rPr>
        <w:t>No contrato:</w:t>
      </w:r>
      <w:r>
        <w:t xml:space="preserve"> exigir da CONTRATADA a entrega de um </w:t>
      </w:r>
      <w:r>
        <w:rPr>
          <w:i/>
        </w:rPr>
        <w:t>setup</w:t>
      </w:r>
      <w:r>
        <w:t xml:space="preserve"> FloodAdapt operacional, com SFINCS calibrado contra o HEC-RAS. Isso vira um produto de legado para o município — e é forte argumento junto à AECID e à frente de financiamento climático.</w:t>
      </w:r>
    </w:p>
    <w:p>
      <w:pPr>
        <w:spacing w:before="120"/>
        <w:ind w:left="454"/>
      </w:pPr>
      <w:r>
        <w:rPr>
          <w:b/>
          <w:color w:val="444444"/>
          <w:sz w:val="19"/>
        </w:rPr>
        <w:t>Sugestão para o TR:</w:t>
      </w:r>
      <w:r>
        <w:rPr>
          <w:color w:val="444444"/>
          <w:sz w:val="19"/>
        </w:rPr>
        <w:t xml:space="preserve"> incluir no Eixo 3, como entregável opcional pontuado na avaliação técnica, a implantação de uma instância FloodAdapt para Estrela. Deltares e o programa EUROCLIMA+ têm histórico de cooperação, o que favorece a aceitação.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4.3 Se quiser testar agora</w:t>
      </w:r>
    </w:p>
    <w:p>
      <w:r>
        <w:t xml:space="preserve">O FloodAdapt tem uma versão </w:t>
      </w:r>
      <w:r>
        <w:rPr>
          <w:i/>
        </w:rPr>
        <w:t>Database Builder</w:t>
      </w:r>
      <w:r>
        <w:t>. O caminho mínimo:</w:t>
      </w:r>
    </w:p>
    <w:p>
      <w:r>
        <w:rPr>
          <w:rFonts w:ascii="Consolas" w:hAnsi="Consolas"/>
          <w:sz w:val="18"/>
        </w:rPr>
        <w:t>`</w:t>
      </w:r>
    </w:p>
    <w:p>
      <w:pPr>
        <w:pStyle w:val="ListNumber"/>
      </w:pPr>
      <w:r>
        <w:t>SFINCS model  &lt;- terreno + rugosidade + contornos</w:t>
      </w:r>
    </w:p>
    <w:p>
      <w:pPr>
        <w:pStyle w:val="ListNumber"/>
      </w:pPr>
      <w:r>
        <w:t>FIAT exposure &lt;- OSM buildings + tipologia + valor</w:t>
      </w:r>
    </w:p>
    <w:p>
      <w:pPr>
        <w:pStyle w:val="ListNumber"/>
      </w:pPr>
      <w:r>
        <w:t>Damage curves &lt;- adaptar JRC Global Flood Depth-Damage (América do Sul)</w:t>
      </w:r>
    </w:p>
    <w:p>
      <w:pPr>
        <w:pStyle w:val="ListNumber"/>
      </w:pPr>
      <w:r>
        <w:t>FloodAdapt DB &lt;- Database Builder</w:t>
      </w:r>
    </w:p>
    <w:p>
      <w:r>
        <w:rPr>
          <w:rFonts w:ascii="Consolas" w:hAnsi="Consolas"/>
          <w:sz w:val="18"/>
        </w:rPr>
        <w:t>`</w:t>
      </w:r>
    </w:p>
    <w:p>
      <w:r>
        <w:t xml:space="preserve">As funções de dano do </w:t>
      </w:r>
      <w:r>
        <w:rPr>
          <w:b/>
        </w:rPr>
        <w:t>JRC (Huizinga et al., 2017)</w:t>
      </w:r>
      <w:r>
        <w:t xml:space="preserve"> têm curva específica para a América do Sul e são a melhor referência pública disponível para o Brasil.</w:t>
      </w:r>
    </w:p>
    <w:p/>
    <w:p>
      <w:pPr>
        <w:pStyle w:val="Heading2"/>
        <w:jc w:val="left"/>
      </w:pPr>
      <w:r>
        <w:rPr>
          <w:rFonts w:ascii="Calibri" w:hAnsi="Calibri"/>
          <w:color w:val="1F5C8B"/>
        </w:rPr>
        <w:t>FASE 5 — Curvas cota-dano preliminares (esforço: 3 a 4 dias)</w:t>
      </w:r>
    </w:p>
    <w:p>
      <w:r>
        <w:t xml:space="preserve">Esta é a peça que falta para fechar o argumento econômico do TR, e pode ser feita </w:t>
      </w:r>
      <w:r>
        <w:rPr>
          <w:b/>
        </w:rPr>
        <w:t>sem</w:t>
      </w:r>
      <w:r>
        <w:t xml:space="preserve"> o cadastro de campo:</w:t>
      </w:r>
    </w:p>
    <w:p>
      <w:pPr>
        <w:pStyle w:val="ListNumber"/>
      </w:pPr>
      <w:r>
        <w:t xml:space="preserve">Extrair edificações do </w:t>
      </w:r>
      <w:r>
        <w:rPr>
          <w:b/>
        </w:rPr>
        <w:t>OpenStreetMap</w:t>
      </w:r>
      <w:r>
        <w:t xml:space="preserve"> + </w:t>
      </w:r>
      <w:r>
        <w:rPr>
          <w:b/>
        </w:rPr>
        <w:t>CNEFE 2022 (IBGE)</w:t>
      </w:r>
      <w:r>
        <w:t xml:space="preserve"> para Estrela.</w:t>
      </w:r>
    </w:p>
    <w:p>
      <w:pPr>
        <w:pStyle w:val="ListNumber"/>
      </w:pPr>
      <w:r>
        <w:t>Amostrar a cota do terreno de cada edificação no MDE; assumir soleira 0,3 m acima.</w:t>
      </w:r>
    </w:p>
    <w:p>
      <w:pPr>
        <w:pStyle w:val="ListNumber"/>
      </w:pPr>
      <w:r>
        <w:t>Aplicar funções de dano do JRC para a América do Sul, por tipologia.</w:t>
      </w:r>
    </w:p>
    <w:p>
      <w:pPr>
        <w:pStyle w:val="ListNumber"/>
      </w:pPr>
      <w:r>
        <w:t xml:space="preserve">Valorar por </w:t>
      </w:r>
      <w:r>
        <w:rPr>
          <w:b/>
        </w:rPr>
        <w:t>CUB-RS</w:t>
      </w:r>
      <w:r>
        <w:t xml:space="preserve"> (residencial/comercial) e SINAPI.</w:t>
      </w:r>
    </w:p>
    <w:p>
      <w:pPr>
        <w:pStyle w:val="ListNumber"/>
      </w:pPr>
      <w:r>
        <w:t xml:space="preserve">Cruzar com as manchas do HEC-RAS por cenário → </w:t>
      </w:r>
      <w:r>
        <w:rPr>
          <w:b/>
        </w:rPr>
        <w:t>dano esperado anual (EAD)</w:t>
      </w:r>
      <w:r>
        <w:t>.</w:t>
      </w:r>
    </w:p>
    <w:p>
      <w:pPr>
        <w:pStyle w:val="ListNumber"/>
      </w:pPr>
      <w:r>
        <w:t>Comparar EAD entre alternativas → razão benefício-custo preliminar.</w:t>
      </w:r>
    </w:p>
    <w:p>
      <w:r>
        <w:t xml:space="preserve">Isso permite responder no TR: </w:t>
      </w:r>
      <w:r>
        <w:rPr>
          <w:i/>
        </w:rPr>
        <w:t>"o dano evitado por uma barragem de 80 m justifica seu custo?"</w:t>
      </w:r>
      <w:r>
        <w:t xml:space="preserve"> — que é a pergunta que a AECID vai fazer.</w:t>
      </w:r>
    </w:p>
    <w:p/>
    <w:p>
      <w:pPr>
        <w:pStyle w:val="Heading2"/>
        <w:jc w:val="left"/>
      </w:pPr>
      <w:r>
        <w:rPr>
          <w:rFonts w:ascii="Calibri" w:hAnsi="Calibri"/>
          <w:color w:val="1F5C8B"/>
        </w:rPr>
        <w:t>Sequência recomendada</w:t>
      </w:r>
    </w:p>
    <w:p>
      <w:r>
        <w:rPr>
          <w:rFonts w:ascii="Consolas" w:hAnsi="Consolas"/>
          <w:sz w:val="18"/>
        </w:rPr>
        <w:t>`</w:t>
      </w:r>
    </w:p>
    <w:p>
      <w:r>
        <w:t>Semana 1   FASE 1 (fechar TR)          ← desbloqueia a publicação</w:t>
      </w:r>
    </w:p>
    <w:p>
      <w:r>
        <w:t>Semana 2   FASE 2 (hidrologia ANA)     ← consolida os números</w:t>
      </w:r>
    </w:p>
    <w:p>
      <w:r>
        <w:t>Semana 3-4 FASE 3 (HEC-RAS 2D)         ← manchas por cenário</w:t>
      </w:r>
    </w:p>
    <w:p>
      <w:r>
        <w:t>Semana 5   FASE 5 (curvas cota-dano)   ← argumento econômico</w:t>
      </w:r>
    </w:p>
    <w:p>
      <w:r>
        <w:t>Semana 6   Revisão final do TR com os resultados</w:t>
      </w:r>
    </w:p>
    <w:p>
      <w:r>
        <w:t>FASE 4     transferir para o contrato (recomendado)</w:t>
      </w:r>
    </w:p>
    <w:p>
      <w:r>
        <w:rPr>
          <w:rFonts w:ascii="Consolas" w:hAnsi="Consolas"/>
          <w:sz w:val="18"/>
        </w:rPr>
        <w:t>`</w:t>
      </w:r>
    </w:p>
    <w:p>
      <w:r>
        <w:rPr>
          <w:b/>
        </w:rPr>
        <w:t>Caminho crítico:</w:t>
      </w:r>
      <w:r>
        <w:t xml:space="preserve"> a FASE 1 não depende das demais. </w:t>
      </w:r>
      <w:r>
        <w:rPr>
          <w:b/>
        </w:rPr>
        <w:t>O TR pode ser publicado ao final da semana 1</w:t>
      </w:r>
      <w:r>
        <w:t>, e as simulações servirão para refinar a avaliação das propostas e a fiscalização.</w:t>
      </w:r>
    </w:p>
    <w:p/>
    <w:p>
      <w:pPr>
        <w:pStyle w:val="Heading2"/>
        <w:jc w:val="left"/>
      </w:pPr>
      <w:r>
        <w:rPr>
          <w:rFonts w:ascii="Calibri" w:hAnsi="Calibri"/>
          <w:color w:val="1F5C8B"/>
        </w:rPr>
        <w:t>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Divergência de escopo (40 vs 51,7 km; 16 vs 139 km²) chega ao mercado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Alto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Fixar no TR com shapefile vinculante (Fase 1.1)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Orçamento insuficiente para o LiDAR especificado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Alto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Consulta prévia de mercado antes da publicação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Expectativa de que "barragens resolvem" persistir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Alto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Anexar a Nota Técnica Preliminar ao TR (Fase 1.5)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Ausência de curva-chave em Estrela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Médio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Exigir no Eixo 1 as 10 medições de vazão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MDE de 28,6 m insuficiente para o trecho urbano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Certa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Médio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É exatamente o que o Eixo 1 resolve; usar ANADEM no ínterim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Sobreposição com as frentes Haskoning e Eco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Médio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Seção 1.1 do TR delimita; reuniões de articulação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