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d'activité trimestriel</w:t>
      </w:r>
    </w:p>
    <w:p>
      <w:pPr>
        <w:jc w:val="center"/>
      </w:pPr>
      <w:r>
        <w:rPr>
          <w:b/>
          <w:i w:val="0"/>
        </w:rPr>
        <w:t>Vanille Horizon — Structuration de la filière vanille durable</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Rubrique</w:t>
            </w:r>
          </w:p>
        </w:tc>
        <w:tc>
          <w:tcPr>
            <w:tcW w:type="dxa" w:w="4320"/>
          </w:tcPr>
          <w:p>
            <w:r>
              <w:rPr>
                <w:b/>
              </w:rPr>
              <w:t>Information</w:t>
            </w:r>
          </w:p>
        </w:tc>
      </w:tr>
      <w:tr>
        <w:tc>
          <w:tcPr>
            <w:tcW w:type="dxa" w:w="4320"/>
          </w:tcPr>
          <w:p>
            <w:r>
              <w:t>Client</w:t>
            </w:r>
          </w:p>
        </w:tc>
        <w:tc>
          <w:tcPr>
            <w:tcW w:type="dxa" w:w="4320"/>
          </w:tcPr>
          <w:p>
            <w:r>
              <w:t>Vanille Horizon</w:t>
            </w:r>
          </w:p>
        </w:tc>
      </w:tr>
      <w:tr>
        <w:tc>
          <w:tcPr>
            <w:tcW w:type="dxa" w:w="4320"/>
          </w:tcPr>
          <w:p>
            <w:r>
              <w:t>Pays</w:t>
            </w:r>
          </w:p>
        </w:tc>
        <w:tc>
          <w:tcPr>
            <w:tcW w:type="dxa" w:w="4320"/>
          </w:tcPr>
          <w:p>
            <w:r>
              <w:t>Madagascar</w:t>
            </w:r>
          </w:p>
        </w:tc>
      </w:tr>
      <w:tr>
        <w:tc>
          <w:tcPr>
            <w:tcW w:type="dxa" w:w="4320"/>
          </w:tcPr>
          <w:p>
            <w:r>
              <w:t>Période couverte</w:t>
            </w:r>
          </w:p>
        </w:tc>
        <w:tc>
          <w:tcPr>
            <w:tcW w:type="dxa" w:w="4320"/>
          </w:tcPr>
          <w:p>
            <w:r>
              <w:t>1er juillet 2026 – 30 septembre 2026 (T3 2026)</w:t>
            </w:r>
          </w:p>
        </w:tc>
      </w:tr>
      <w:tr>
        <w:tc>
          <w:tcPr>
            <w:tcW w:type="dxa" w:w="4320"/>
          </w:tcPr>
          <w:p>
            <w:r>
              <w:t>Auteur du rapport</w:t>
            </w:r>
          </w:p>
        </w:tc>
        <w:tc>
          <w:tcPr>
            <w:tcW w:type="dxa" w:w="4320"/>
          </w:tcPr>
          <w:p>
            <w:r>
              <w:t>R. Andriamalala, chargée d'études</w:t>
            </w:r>
          </w:p>
        </w:tc>
      </w:tr>
      <w:tr>
        <w:tc>
          <w:tcPr>
            <w:tcW w:type="dxa" w:w="4320"/>
          </w:tcPr>
          <w:p>
            <w:r>
              <w:t>Date de remise</w:t>
            </w:r>
          </w:p>
        </w:tc>
        <w:tc>
          <w:tcPr>
            <w:tcW w:type="dxa" w:w="4320"/>
          </w:tcPr>
          <w:p>
            <w:r>
              <w:t>8 octobre 2026</w:t>
            </w:r>
          </w:p>
        </w:tc>
      </w:tr>
      <w:tr>
        <w:tc>
          <w:tcPr>
            <w:tcW w:type="dxa" w:w="4320"/>
          </w:tcPr>
          <w:p>
            <w:r>
              <w:t>Référence</w:t>
            </w:r>
          </w:p>
        </w:tc>
        <w:tc>
          <w:tcPr>
            <w:tcW w:type="dxa" w:w="4320"/>
          </w:tcPr>
          <w:p>
            <w:r>
              <w:t>VH-2026-T3-001</w:t>
            </w:r>
          </w:p>
        </w:tc>
      </w:tr>
    </w:tbl>
    <w:p/>
    <w:p>
      <w:r>
        <w:rPr>
          <w:b w:val="0"/>
          <w:i/>
        </w:rPr>
        <w:t>Document de démonstration. Données entièrement fictives.</w:t>
        <w:br w:type="page"/>
      </w:r>
    </w:p>
    <w:p>
      <w:pPr>
        <w:pStyle w:val="Heading1"/>
      </w:pPr>
      <w:r>
        <w:t>1. Contexte et objectifs</w:t>
      </w:r>
    </w:p>
    <w:p>
      <w:r>
        <w:rPr>
          <w:b w:val="0"/>
          <w:i w:val="0"/>
        </w:rPr>
        <w:t>Vanille Horizon accompagne depuis 2024 la structuration d'une filière vanille durable dans la région Nord-Est de Madagascar. La mission vise trois objectifs : sécuriser le revenu des producteurs partenaires, améliorer la traçabilité des lots exportés, et obtenir la certification biologique sur la majorité des surfaces cultivées.</w:t>
      </w:r>
    </w:p>
    <w:p>
      <w:r>
        <w:rPr>
          <w:b w:val="0"/>
          <w:i w:val="0"/>
        </w:rPr>
        <w:t>Le présent rapport couvre le troisième trimestre 2026. Il fait suite au rapport du deuxième trimestre, remis le 10 juillet 2026. Il s'adresse au comité de pilotage, qui se réunit le 14 novembre 2026.</w:t>
      </w:r>
    </w:p>
    <w:p>
      <w:r>
        <w:rPr>
          <w:b w:val="0"/>
          <w:i w:val="0"/>
        </w:rPr>
        <w:t>Le trimestre a été marqué par l'extension du réseau de collecte à deux nouvelles communes et par le lancement du programme de formation des producteurs.</w:t>
      </w:r>
    </w:p>
    <w:p>
      <w:pPr>
        <w:pStyle w:val="Heading1"/>
      </w:pPr>
      <w:r>
        <w:t>2. Chiffres clés du trimestre</w:t>
      </w:r>
    </w:p>
    <w:p>
      <w:r>
        <w:rPr>
          <w:b w:val="0"/>
          <w:i w:val="0"/>
        </w:rPr>
        <w:t>Les indicateurs ci-dessous sont comparés au deuxième trimestre 2026 lorsque la donnée antérieure est disponible.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Indicateur</w:t>
            </w:r>
          </w:p>
        </w:tc>
        <w:tc>
          <w:tcPr>
            <w:tcW w:type="dxa" w:w="2160"/>
          </w:tcPr>
          <w:p>
            <w:r>
              <w:rPr>
                <w:b/>
              </w:rPr>
              <w:t>T3 2026</w:t>
            </w:r>
          </w:p>
        </w:tc>
        <w:tc>
          <w:tcPr>
            <w:tcW w:type="dxa" w:w="2160"/>
          </w:tcPr>
          <w:p>
            <w:r>
              <w:rPr>
                <w:b/>
              </w:rPr>
              <w:t>T2 2026</w:t>
            </w:r>
          </w:p>
        </w:tc>
        <w:tc>
          <w:tcPr>
            <w:tcW w:type="dxa" w:w="2160"/>
          </w:tcPr>
          <w:p>
            <w:r>
              <w:rPr>
                <w:b/>
              </w:rPr>
              <w:t>Évolution</w:t>
            </w:r>
          </w:p>
        </w:tc>
      </w:tr>
      <w:tr>
        <w:tc>
          <w:tcPr>
            <w:tcW w:type="dxa" w:w="2160"/>
          </w:tcPr>
          <w:p>
            <w:r>
              <w:t>Chiffre d'affaires</w:t>
            </w:r>
          </w:p>
        </w:tc>
        <w:tc>
          <w:tcPr>
            <w:tcW w:type="dxa" w:w="2160"/>
          </w:tcPr>
          <w:p>
            <w:r>
              <w:t>412 000 €</w:t>
            </w:r>
          </w:p>
        </w:tc>
        <w:tc>
          <w:tcPr>
            <w:tcW w:type="dxa" w:w="2160"/>
          </w:tcPr>
          <w:p>
            <w:r>
              <w:t>358 000 €</w:t>
            </w:r>
          </w:p>
        </w:tc>
        <w:tc>
          <w:tcPr>
            <w:tcW w:type="dxa" w:w="2160"/>
          </w:tcPr>
          <w:p>
            <w:r>
              <w:t>+15,1 %</w:t>
            </w:r>
          </w:p>
        </w:tc>
      </w:tr>
      <w:tr>
        <w:tc>
          <w:tcPr>
            <w:tcW w:type="dxa" w:w="2160"/>
          </w:tcPr>
          <w:p>
            <w:r>
              <w:t>Producteurs partenaires</w:t>
            </w:r>
          </w:p>
        </w:tc>
        <w:tc>
          <w:tcPr>
            <w:tcW w:type="dxa" w:w="2160"/>
          </w:tcPr>
          <w:p>
            <w:r>
              <w:t>247</w:t>
            </w:r>
          </w:p>
        </w:tc>
        <w:tc>
          <w:tcPr>
            <w:tcW w:type="dxa" w:w="2160"/>
          </w:tcPr>
          <w:p>
            <w:r>
              <w:t>198</w:t>
            </w:r>
          </w:p>
        </w:tc>
        <w:tc>
          <w:tcPr>
            <w:tcW w:type="dxa" w:w="2160"/>
          </w:tcPr>
          <w:p>
            <w:r>
              <w:t>+49 producteurs</w:t>
            </w:r>
          </w:p>
        </w:tc>
      </w:tr>
      <w:tr>
        <w:tc>
          <w:tcPr>
            <w:tcW w:type="dxa" w:w="2160"/>
          </w:tcPr>
          <w:p>
            <w:r>
              <w:t>Volume de vanille verte collecté</w:t>
            </w:r>
          </w:p>
        </w:tc>
        <w:tc>
          <w:tcPr>
            <w:tcW w:type="dxa" w:w="2160"/>
          </w:tcPr>
          <w:p>
            <w:r>
              <w:t>18,4 tonnes</w:t>
            </w:r>
          </w:p>
        </w:tc>
        <w:tc>
          <w:tcPr>
            <w:tcW w:type="dxa" w:w="2160"/>
          </w:tcPr>
          <w:p>
            <w:r>
              <w:t>14,2 tonnes</w:t>
            </w:r>
          </w:p>
        </w:tc>
        <w:tc>
          <w:tcPr>
            <w:tcW w:type="dxa" w:w="2160"/>
          </w:tcPr>
          <w:p>
            <w:r>
              <w:t>+29,6 %</w:t>
            </w:r>
          </w:p>
        </w:tc>
      </w:tr>
      <w:tr>
        <w:tc>
          <w:tcPr>
            <w:tcW w:type="dxa" w:w="2160"/>
          </w:tcPr>
          <w:p>
            <w:r>
              <w:t>Surfaces certifiées biologiques</w:t>
            </w:r>
          </w:p>
        </w:tc>
        <w:tc>
          <w:tcPr>
            <w:tcW w:type="dxa" w:w="2160"/>
          </w:tcPr>
          <w:p>
            <w:r>
              <w:t>62 %</w:t>
            </w:r>
          </w:p>
        </w:tc>
        <w:tc>
          <w:tcPr>
            <w:tcW w:type="dxa" w:w="2160"/>
          </w:tcPr>
          <w:p>
            <w:r>
              <w:t>54 %</w:t>
            </w:r>
          </w:p>
        </w:tc>
        <w:tc>
          <w:tcPr>
            <w:tcW w:type="dxa" w:w="2160"/>
          </w:tcPr>
          <w:p>
            <w:r>
              <w:t>+8 points</w:t>
            </w:r>
          </w:p>
        </w:tc>
      </w:tr>
      <w:tr>
        <w:tc>
          <w:tcPr>
            <w:tcW w:type="dxa" w:w="2160"/>
          </w:tcPr>
          <w:p>
            <w:r>
              <w:t>Participants aux formations</w:t>
            </w:r>
          </w:p>
        </w:tc>
        <w:tc>
          <w:tcPr>
            <w:tcW w:type="dxa" w:w="2160"/>
          </w:tcPr>
          <w:p>
            <w:r>
              <w:t>86</w:t>
            </w:r>
          </w:p>
        </w:tc>
        <w:tc>
          <w:tcPr>
            <w:tcW w:type="dxa" w:w="2160"/>
          </w:tcPr>
          <w:p>
            <w:r>
              <w:t>0</w:t>
            </w:r>
          </w:p>
        </w:tc>
        <w:tc>
          <w:tcPr>
            <w:tcW w:type="dxa" w:w="2160"/>
          </w:tcPr>
          <w:p>
            <w:r>
              <w:t>programme lancé au T3</w:t>
            </w:r>
          </w:p>
        </w:tc>
      </w:tr>
      <w:tr>
        <w:tc>
          <w:tcPr>
            <w:tcW w:type="dxa" w:w="2160"/>
          </w:tcPr>
          <w:p>
            <w:r>
              <w:t>Délai moyen de paiement des producteurs</w:t>
            </w:r>
          </w:p>
        </w:tc>
        <w:tc>
          <w:tcPr>
            <w:tcW w:type="dxa" w:w="2160"/>
          </w:tcPr>
          <w:p>
            <w:r>
              <w:t>21 jours</w:t>
            </w:r>
          </w:p>
        </w:tc>
        <w:tc>
          <w:tcPr>
            <w:tcW w:type="dxa" w:w="2160"/>
          </w:tcPr>
          <w:p>
            <w:r>
              <w:t>26 jours</w:t>
            </w:r>
          </w:p>
        </w:tc>
        <w:tc>
          <w:tcPr>
            <w:tcW w:type="dxa" w:w="2160"/>
          </w:tcPr>
          <w:p>
            <w:r>
              <w:t>−5 jours</w:t>
            </w:r>
          </w:p>
        </w:tc>
      </w:tr>
      <w:tr>
        <w:tc>
          <w:tcPr>
            <w:tcW w:type="dxa" w:w="2160"/>
          </w:tcPr>
          <w:p>
            <w:r>
              <w:t>Taux de perte après récolte</w:t>
            </w:r>
          </w:p>
        </w:tc>
        <w:tc>
          <w:tcPr>
            <w:tcW w:type="dxa" w:w="2160"/>
          </w:tcPr>
          <w:p>
            <w:r>
              <w:t>7,3 %</w:t>
            </w:r>
          </w:p>
        </w:tc>
        <w:tc>
          <w:tcPr>
            <w:tcW w:type="dxa" w:w="2160"/>
          </w:tcPr>
          <w:p>
            <w:r>
              <w:t>—</w:t>
            </w:r>
          </w:p>
        </w:tc>
        <w:tc>
          <w:tcPr>
            <w:tcW w:type="dxa" w:w="2160"/>
          </w:tcPr>
          <w:p>
            <w:r>
              <w:t>—</w:t>
            </w:r>
          </w:p>
        </w:tc>
      </w:tr>
    </w:tbl>
    <w:p/>
    <w:p>
      <w:r>
        <w:rPr>
          <w:b w:val="0"/>
          <w:i w:val="0"/>
        </w:rPr>
        <w:t>Le taux de perte après récolte est mesuré pour la première fois ce trimestre. Aucune comparaison n'est possible avec les périodes précédentes.</w:t>
      </w:r>
    </w:p>
    <w:p>
      <w:r>
        <w:rPr>
          <w:b w:val="0"/>
          <w:i w:val="0"/>
        </w:rPr>
        <w:t>L'objectif interne de délai de paiement reste fixé à 15 jours. Il n'est pas atteint.</w:t>
      </w:r>
    </w:p>
    <w:p>
      <w:pPr>
        <w:pStyle w:val="Heading1"/>
      </w:pPr>
      <w:r>
        <w:t>3. Réalisations de la période</w:t>
      </w:r>
    </w:p>
    <w:p>
      <w:pPr>
        <w:pStyle w:val="Heading2"/>
      </w:pPr>
      <w:r>
        <w:t>3.1 Extension du réseau de collecte</w:t>
      </w:r>
    </w:p>
    <w:p>
      <w:r>
        <w:rPr>
          <w:b w:val="0"/>
          <w:i w:val="0"/>
        </w:rPr>
        <w:t>Deux centres de collecte ont été ouverts en juillet 2026. Ils couvrent désormais deux communes supplémentaires, portant le total à sept communes. Le réseau a permis d'enregistrer 49 nouveaux producteurs partenaires sur le trimestre.</w:t>
      </w:r>
    </w:p>
    <w:p>
      <w:r>
        <w:rPr>
          <w:b w:val="0"/>
          <w:i w:val="0"/>
        </w:rPr>
        <w:t>Chaque centre est équipé d'une balance certifiée et d'un registre numérique de pesée. La saisie est effectuée par un agent formé sur place.</w:t>
      </w:r>
    </w:p>
    <w:p>
      <w:pPr>
        <w:pStyle w:val="Heading2"/>
      </w:pPr>
      <w:r>
        <w:t>3.2 Traçabilité des lots</w:t>
      </w:r>
    </w:p>
    <w:p>
      <w:r>
        <w:rPr>
          <w:b w:val="0"/>
          <w:i w:val="0"/>
        </w:rPr>
        <w:t>Le système d'identification par lot est opérationnel depuis le 1er août 2026. Sur les 18,4 tonnes collectées, 16,1 tonnes sont associées à un identifiant de lot complet, soit 87,5 % du volume. Le reste correspond aux collectes antérieures à la mise en service.</w:t>
      </w:r>
    </w:p>
    <w:p>
      <w:pPr>
        <w:pStyle w:val="Heading2"/>
      </w:pPr>
      <w:r>
        <w:t>3.3 Certification biologique</w:t>
      </w:r>
    </w:p>
    <w:p>
      <w:r>
        <w:rPr>
          <w:b w:val="0"/>
          <w:i w:val="0"/>
        </w:rPr>
        <w:t>Les audits de la deuxième vague ont été menés en septembre 2026 sur 41 exploitations. 38 ont été validées. Les trois exploitations restantes doivent corriger des écarts mineurs de tenue de registre avant un nouveau passage.</w:t>
      </w:r>
    </w:p>
    <w:p>
      <w:pPr>
        <w:pStyle w:val="Heading1"/>
      </w:pPr>
      <w:r>
        <w:t>4. Programme de formation</w:t>
      </w:r>
    </w:p>
    <w:p>
      <w:r>
        <w:rPr>
          <w:b w:val="0"/>
          <w:i w:val="0"/>
        </w:rPr>
        <w:t>Trois sessions de formation ont été organisées au cours du trimestre, pour un total de 86 participants.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Session</w:t>
            </w:r>
          </w:p>
        </w:tc>
        <w:tc>
          <w:tcPr>
            <w:tcW w:type="dxa" w:w="2160"/>
          </w:tcPr>
          <w:p>
            <w:r>
              <w:rPr>
                <w:b/>
              </w:rPr>
              <w:t>Dates</w:t>
            </w:r>
          </w:p>
        </w:tc>
        <w:tc>
          <w:tcPr>
            <w:tcW w:type="dxa" w:w="2160"/>
          </w:tcPr>
          <w:p>
            <w:r>
              <w:rPr>
                <w:b/>
              </w:rPr>
              <w:t>Thème</w:t>
            </w:r>
          </w:p>
        </w:tc>
        <w:tc>
          <w:tcPr>
            <w:tcW w:type="dxa" w:w="2160"/>
          </w:tcPr>
          <w:p>
            <w:r>
              <w:rPr>
                <w:b/>
              </w:rPr>
              <w:t>Participants</w:t>
            </w:r>
          </w:p>
        </w:tc>
      </w:tr>
      <w:tr>
        <w:tc>
          <w:tcPr>
            <w:tcW w:type="dxa" w:w="2160"/>
          </w:tcPr>
          <w:p>
            <w:r>
              <w:t>Session 1</w:t>
            </w:r>
          </w:p>
        </w:tc>
        <w:tc>
          <w:tcPr>
            <w:tcW w:type="dxa" w:w="2160"/>
          </w:tcPr>
          <w:p>
            <w:r>
              <w:t>22–23 juillet 2026</w:t>
            </w:r>
          </w:p>
        </w:tc>
        <w:tc>
          <w:tcPr>
            <w:tcW w:type="dxa" w:w="2160"/>
          </w:tcPr>
          <w:p>
            <w:r>
              <w:t>Préparation et échaudage</w:t>
            </w:r>
          </w:p>
        </w:tc>
        <w:tc>
          <w:tcPr>
            <w:tcW w:type="dxa" w:w="2160"/>
          </w:tcPr>
          <w:p>
            <w:r>
              <w:t>31</w:t>
            </w:r>
          </w:p>
        </w:tc>
      </w:tr>
      <w:tr>
        <w:tc>
          <w:tcPr>
            <w:tcW w:type="dxa" w:w="2160"/>
          </w:tcPr>
          <w:p>
            <w:r>
              <w:t>Session 2</w:t>
            </w:r>
          </w:p>
        </w:tc>
        <w:tc>
          <w:tcPr>
            <w:tcW w:type="dxa" w:w="2160"/>
          </w:tcPr>
          <w:p>
            <w:r>
              <w:t>19–20 août 2026</w:t>
            </w:r>
          </w:p>
        </w:tc>
        <w:tc>
          <w:tcPr>
            <w:tcW w:type="dxa" w:w="2160"/>
          </w:tcPr>
          <w:p>
            <w:r>
              <w:t>Séchage et conditionnement</w:t>
            </w:r>
          </w:p>
        </w:tc>
        <w:tc>
          <w:tcPr>
            <w:tcW w:type="dxa" w:w="2160"/>
          </w:tcPr>
          <w:p>
            <w:r>
              <w:t>29</w:t>
            </w:r>
          </w:p>
        </w:tc>
      </w:tr>
      <w:tr>
        <w:tc>
          <w:tcPr>
            <w:tcW w:type="dxa" w:w="2160"/>
          </w:tcPr>
          <w:p>
            <w:r>
              <w:t>Session 3</w:t>
            </w:r>
          </w:p>
        </w:tc>
        <w:tc>
          <w:tcPr>
            <w:tcW w:type="dxa" w:w="2160"/>
          </w:tcPr>
          <w:p>
            <w:r>
              <w:t>16–17 septembre 2026</w:t>
            </w:r>
          </w:p>
        </w:tc>
        <w:tc>
          <w:tcPr>
            <w:tcW w:type="dxa" w:w="2160"/>
          </w:tcPr>
          <w:p>
            <w:r>
              <w:t>Tenue des registres et traçabilité</w:t>
            </w:r>
          </w:p>
        </w:tc>
        <w:tc>
          <w:tcPr>
            <w:tcW w:type="dxa" w:w="2160"/>
          </w:tcPr>
          <w:p>
            <w:r>
              <w:t>26</w:t>
            </w:r>
          </w:p>
        </w:tc>
      </w:tr>
    </w:tbl>
    <w:p/>
    <w:p>
      <w:r>
        <w:rPr>
          <w:b w:val="0"/>
          <w:i w:val="0"/>
        </w:rPr>
        <w:t>Le taux de satisfaction déclaré est de 91 %, mesuré par questionnaire en fin de session. Une quatrième session était prévue en septembre ; elle a été reportée faute de formateur disponible.</w:t>
      </w:r>
    </w:p>
    <w:p>
      <w:pPr>
        <w:pStyle w:val="Heading1"/>
      </w:pPr>
      <w:r>
        <w:t>5. Difficultés rencontrées et risques</w:t>
      </w:r>
    </w:p>
    <w:p>
      <w:pPr>
        <w:pStyle w:val="Heading2"/>
      </w:pPr>
      <w:r>
        <w:t>5.1 Logistique d'export</w:t>
      </w:r>
    </w:p>
    <w:p>
      <w:r>
        <w:rPr>
          <w:b w:val="0"/>
          <w:i w:val="0"/>
        </w:rPr>
        <w:t>Les départs maritimes depuis le port de desserte ont été réduits à deux rotations mensuelles au lieu de quatre. Deux expéditions ont été décalées, pour un retard cumulé de 23 jours. Le surcoût de stockage s'élève à 6 800 € sur le trimestre.</w:t>
      </w:r>
    </w:p>
    <w:p>
      <w:pPr>
        <w:pStyle w:val="Heading2"/>
      </w:pPr>
      <w:r>
        <w:t>5.2 Trésorerie des producteurs</w:t>
      </w:r>
    </w:p>
    <w:p>
      <w:r>
        <w:rPr>
          <w:b w:val="0"/>
          <w:i w:val="0"/>
        </w:rPr>
        <w:t>Le délai moyen de paiement de 21 jours reste supérieur à l'objectif de 15 jours. Plusieurs producteurs ont signalé des difficultés de trésorerie en fin de campagne. Le risque est une perte de partenaires au profit de collecteurs informels payant au comptant.</w:t>
      </w:r>
    </w:p>
    <w:p>
      <w:pPr>
        <w:pStyle w:val="Heading2"/>
      </w:pPr>
      <w:r>
        <w:t>5.3 Disponibilité des formateurs</w:t>
      </w:r>
    </w:p>
    <w:p>
      <w:r>
        <w:rPr>
          <w:b w:val="0"/>
          <w:i w:val="0"/>
        </w:rPr>
        <w:t>L'équipe ne compte qu'un formateur qualifié sur la partie traçabilité. Son indisponibilité en septembre a entraîné le report d'une session.</w:t>
      </w:r>
    </w:p>
    <w:p>
      <w:pPr>
        <w:pStyle w:val="Heading1"/>
      </w:pPr>
      <w:r>
        <w:t>6. Actions à mener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Responsable</w:t>
            </w:r>
          </w:p>
        </w:tc>
        <w:tc>
          <w:tcPr>
            <w:tcW w:type="dxa" w:w="2880"/>
          </w:tcPr>
          <w:p>
            <w:r>
              <w:rPr>
                <w:b/>
              </w:rPr>
              <w:t>Échéance</w:t>
            </w:r>
          </w:p>
        </w:tc>
      </w:tr>
      <w:tr>
        <w:tc>
          <w:tcPr>
            <w:tcW w:type="dxa" w:w="2880"/>
          </w:tcPr>
          <w:p>
            <w:r>
              <w:t>Renégocier le contrat de transport maritime</w:t>
            </w:r>
          </w:p>
        </w:tc>
        <w:tc>
          <w:tcPr>
            <w:tcW w:type="dxa" w:w="2880"/>
          </w:tcPr>
          <w:p>
            <w:r>
              <w:t>Non désigné à ce jour</w:t>
            </w:r>
          </w:p>
        </w:tc>
        <w:tc>
          <w:tcPr>
            <w:tcW w:type="dxa" w:w="2880"/>
          </w:tcPr>
          <w:p>
            <w:r>
              <w:t>30 novembre 2026</w:t>
            </w:r>
          </w:p>
        </w:tc>
      </w:tr>
      <w:tr>
        <w:tc>
          <w:tcPr>
            <w:tcW w:type="dxa" w:w="2880"/>
          </w:tcPr>
          <w:p>
            <w:r>
              <w:t>Mettre en place une avance de campagne pour les producteurs</w:t>
            </w:r>
          </w:p>
        </w:tc>
        <w:tc>
          <w:tcPr>
            <w:tcW w:type="dxa" w:w="2880"/>
          </w:tcPr>
          <w:p>
            <w:r>
              <w:t>R. Andriamalala</w:t>
            </w:r>
          </w:p>
        </w:tc>
        <w:tc>
          <w:tcPr>
            <w:tcW w:type="dxa" w:w="2880"/>
          </w:tcPr>
          <w:p>
            <w:r>
              <w:t>15 décembre 2026</w:t>
            </w:r>
          </w:p>
        </w:tc>
      </w:tr>
      <w:tr>
        <w:tc>
          <w:tcPr>
            <w:tcW w:type="dxa" w:w="2880"/>
          </w:tcPr>
          <w:p>
            <w:r>
              <w:t>Former un second formateur traçabilité</w:t>
            </w:r>
          </w:p>
        </w:tc>
        <w:tc>
          <w:tcPr>
            <w:tcW w:type="dxa" w:w="2880"/>
          </w:tcPr>
          <w:p>
            <w:r>
              <w:t>Service formation</w:t>
            </w:r>
          </w:p>
        </w:tc>
        <w:tc>
          <w:tcPr>
            <w:tcW w:type="dxa" w:w="2880"/>
          </w:tcPr>
          <w:p>
            <w:r>
              <w:t>Non définie</w:t>
            </w:r>
          </w:p>
        </w:tc>
      </w:tr>
      <w:tr>
        <w:tc>
          <w:tcPr>
            <w:tcW w:type="dxa" w:w="2880"/>
          </w:tcPr>
          <w:p>
            <w:r>
              <w:t>Reprogrammer la session de formation reportée</w:t>
            </w:r>
          </w:p>
        </w:tc>
        <w:tc>
          <w:tcPr>
            <w:tcW w:type="dxa" w:w="2880"/>
          </w:tcPr>
          <w:p>
            <w:r>
              <w:t>Service formation</w:t>
            </w:r>
          </w:p>
        </w:tc>
        <w:tc>
          <w:tcPr>
            <w:tcW w:type="dxa" w:w="2880"/>
          </w:tcPr>
          <w:p>
            <w:r>
              <w:t>28 novembre 2026</w:t>
            </w:r>
          </w:p>
        </w:tc>
      </w:tr>
      <w:tr>
        <w:tc>
          <w:tcPr>
            <w:tcW w:type="dxa" w:w="2880"/>
          </w:tcPr>
          <w:p>
            <w:r>
              <w:t>Clore les trois audits biologiques en écart</w:t>
            </w:r>
          </w:p>
        </w:tc>
        <w:tc>
          <w:tcPr>
            <w:tcW w:type="dxa" w:w="2880"/>
          </w:tcPr>
          <w:p>
            <w:r>
              <w:t>Cabinet d'audit partenaire</w:t>
            </w:r>
          </w:p>
        </w:tc>
        <w:tc>
          <w:tcPr>
            <w:tcW w:type="dxa" w:w="2880"/>
          </w:tcPr>
          <w:p>
            <w:r>
              <w:t>31 décembre 2026</w:t>
            </w:r>
          </w:p>
        </w:tc>
      </w:tr>
    </w:tbl>
    <w:p/>
    <w:p>
      <w:pPr>
        <w:pStyle w:val="Heading1"/>
      </w:pPr>
      <w:r>
        <w:t>7. Prochaines étapes</w:t>
      </w:r>
    </w:p>
    <w:p>
      <w:r>
        <w:rPr>
          <w:b w:val="0"/>
          <w:i w:val="0"/>
        </w:rPr>
        <w:t>Le quatrième trimestre 2026 sera consacré à la phase d'analyse des données de campagne et à la préparation du rapport de filière, livrable attendu le 15 décembre 2026.</w:t>
      </w:r>
    </w:p>
    <w:p>
      <w:r>
        <w:rPr>
          <w:b w:val="0"/>
          <w:i w:val="0"/>
        </w:rPr>
        <w:t>Le comité de pilotage du 14 novembre 2026 devra arbitrer sur deux points : le financement de l'avance de campagne et le recrutement d'un second formateur.</w:t>
      </w:r>
    </w:p>
    <w:p>
      <w:r>
        <w:rPr>
          <w:b w:val="0"/>
          <w:i w:val="0"/>
        </w:rPr>
        <w:t>Une cartographie complète des producteurs partenaires sera jointe au rapport de filière.</w:t>
      </w:r>
    </w:p>
    <w:p>
      <w:pPr>
        <w:pStyle w:val="Heading1"/>
      </w:pPr>
      <w:r>
        <w:t>Annexe — Méthodologie</w:t>
      </w:r>
    </w:p>
    <w:p>
      <w:r>
        <w:rPr>
          <w:b w:val="0"/>
          <w:i w:val="0"/>
        </w:rPr>
        <w:t>Les volumes proviennent des registres de pesée des sept centres de collecte. Le chiffre d'affaires est issu de la comptabilité analytique arrêtée au 30 septembre 2026. Les taux de certification sont calculés sur les surfaces déclarées, non sur le nombre d'exploitations.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