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d'activité trimestriel</w:t>
      </w:r>
    </w:p>
    <w:p>
      <w:pPr>
        <w:jc w:val="center"/>
      </w:pPr>
      <w:r>
        <w:rPr>
          <w:b/>
          <w:i w:val="0"/>
        </w:rPr>
        <w:t>Caldeira Solaire — Exploitation du parc photovoltaïque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Rubrique</w:t>
            </w:r>
          </w:p>
        </w:tc>
        <w:tc>
          <w:tcPr>
            <w:tcW w:type="dxa" w:w="4320"/>
          </w:tcPr>
          <w:p>
            <w:r>
              <w:rPr>
                <w:b/>
              </w:rPr>
              <w:t>Information</w:t>
            </w:r>
          </w:p>
        </w:tc>
      </w:tr>
      <w:tr>
        <w:tc>
          <w:tcPr>
            <w:tcW w:type="dxa" w:w="4320"/>
          </w:tcPr>
          <w:p>
            <w:r>
              <w:t>Client</w:t>
            </w:r>
          </w:p>
        </w:tc>
        <w:tc>
          <w:tcPr>
            <w:tcW w:type="dxa" w:w="4320"/>
          </w:tcPr>
          <w:p>
            <w:r>
              <w:t>Caldeira Solaire</w:t>
            </w:r>
          </w:p>
        </w:tc>
      </w:tr>
      <w:tr>
        <w:tc>
          <w:tcPr>
            <w:tcW w:type="dxa" w:w="4320"/>
          </w:tcPr>
          <w:p>
            <w:r>
              <w:t>Pays</w:t>
            </w:r>
          </w:p>
        </w:tc>
        <w:tc>
          <w:tcPr>
            <w:tcW w:type="dxa" w:w="4320"/>
          </w:tcPr>
          <w:p>
            <w:r>
              <w:t>La Réunion</w:t>
            </w:r>
          </w:p>
        </w:tc>
      </w:tr>
      <w:tr>
        <w:tc>
          <w:tcPr>
            <w:tcW w:type="dxa" w:w="4320"/>
          </w:tcPr>
          <w:p>
            <w:r>
              <w:t>Période couverte</w:t>
            </w:r>
          </w:p>
        </w:tc>
        <w:tc>
          <w:tcPr>
            <w:tcW w:type="dxa" w:w="4320"/>
          </w:tcPr>
          <w:p>
            <w:r>
              <w:t>1er juillet 2026 – 30 septembre 2026 (T3 2026)</w:t>
            </w:r>
          </w:p>
        </w:tc>
      </w:tr>
      <w:tr>
        <w:tc>
          <w:tcPr>
            <w:tcW w:type="dxa" w:w="4320"/>
          </w:tcPr>
          <w:p>
            <w:r>
              <w:t>Auteur du rapport</w:t>
            </w:r>
          </w:p>
        </w:tc>
        <w:tc>
          <w:tcPr>
            <w:tcW w:type="dxa" w:w="4320"/>
          </w:tcPr>
          <w:p>
            <w:r>
              <w:t>M. Payet, responsable exploitation</w:t>
            </w:r>
          </w:p>
        </w:tc>
      </w:tr>
      <w:tr>
        <w:tc>
          <w:tcPr>
            <w:tcW w:type="dxa" w:w="4320"/>
          </w:tcPr>
          <w:p>
            <w:r>
              <w:t>Date de remise</w:t>
            </w:r>
          </w:p>
        </w:tc>
        <w:tc>
          <w:tcPr>
            <w:tcW w:type="dxa" w:w="4320"/>
          </w:tcPr>
          <w:p>
            <w:r>
              <w:t>10 octobre 2026</w:t>
            </w:r>
          </w:p>
        </w:tc>
      </w:tr>
      <w:tr>
        <w:tc>
          <w:tcPr>
            <w:tcW w:type="dxa" w:w="4320"/>
          </w:tcPr>
          <w:p>
            <w:r>
              <w:t>Référence</w:t>
            </w:r>
          </w:p>
        </w:tc>
        <w:tc>
          <w:tcPr>
            <w:tcW w:type="dxa" w:w="4320"/>
          </w:tcPr>
          <w:p>
            <w:r>
              <w:t>CS-2026-T3-004</w:t>
            </w:r>
          </w:p>
        </w:tc>
      </w:tr>
    </w:tbl>
    <w:p/>
    <w:p>
      <w:r>
        <w:rPr>
          <w:b w:val="0"/>
          <w:i/>
        </w:rPr>
        <w:t>Document de démonstration. Données entièrement fictives.</w:t>
      </w:r>
    </w:p>
    <w:p>
      <w:pPr>
        <w:pStyle w:val="Heading1"/>
      </w:pPr>
      <w:r>
        <w:t>1. Contexte et objectifs</w:t>
      </w:r>
    </w:p>
    <w:p>
      <w:r>
        <w:rPr>
          <w:b w:val="0"/>
          <w:i w:val="0"/>
        </w:rPr>
        <w:t>Caldeira Solaire exploite trois centrales photovoltaïques au sol dans le sud de La Réunion. Le présent rapport rend compte de l'exploitation du troisième trimestre 2026 et accompagne le dossier de consultation en cours sur l'étude d'impact de la future centrale.</w:t>
      </w:r>
    </w:p>
    <w:p>
      <w:r>
        <w:rPr>
          <w:b w:val="0"/>
          <w:i w:val="0"/>
        </w:rPr>
        <w:t>Il fait suite au rapport du deuxième trimestre, remis le 9 juillet 2026. Le trimestre a été marqué par la mise en service d'une extension et par une tension sur l'approvisionnement en onduleurs.</w:t>
      </w:r>
    </w:p>
    <w:p>
      <w:pPr>
        <w:pStyle w:val="Heading1"/>
      </w:pPr>
      <w:r>
        <w:t>2. Chiffres clés du trimestre</w:t>
      </w:r>
    </w:p>
    <w:p>
      <w:r>
        <w:rPr>
          <w:b w:val="0"/>
          <w:i w:val="0"/>
        </w:rPr>
        <w:t>Les indicateurs sont comparés au deuxième trimestre 2026 lorsque la donnée antérieure est disponible.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Indicateur</w:t>
            </w:r>
          </w:p>
        </w:tc>
        <w:tc>
          <w:tcPr>
            <w:tcW w:type="dxa" w:w="2160"/>
          </w:tcPr>
          <w:p>
            <w:r>
              <w:rPr>
                <w:b/>
              </w:rPr>
              <w:t>T3 2026</w:t>
            </w:r>
          </w:p>
        </w:tc>
        <w:tc>
          <w:tcPr>
            <w:tcW w:type="dxa" w:w="2160"/>
          </w:tcPr>
          <w:p>
            <w:r>
              <w:rPr>
                <w:b/>
              </w:rPr>
              <w:t>T2 2026</w:t>
            </w:r>
          </w:p>
        </w:tc>
        <w:tc>
          <w:tcPr>
            <w:tcW w:type="dxa" w:w="2160"/>
          </w:tcPr>
          <w:p>
            <w:r>
              <w:rPr>
                <w:b/>
              </w:rPr>
              <w:t>Évolution</w:t>
            </w:r>
          </w:p>
        </w:tc>
      </w:tr>
      <w:tr>
        <w:tc>
          <w:tcPr>
            <w:tcW w:type="dxa" w:w="2160"/>
          </w:tcPr>
          <w:p>
            <w:r>
              <w:t>Production photovoltaïque</w:t>
            </w:r>
          </w:p>
        </w:tc>
        <w:tc>
          <w:tcPr>
            <w:tcW w:type="dxa" w:w="2160"/>
          </w:tcPr>
          <w:p>
            <w:r>
              <w:t>4 820 MWh</w:t>
            </w:r>
          </w:p>
        </w:tc>
        <w:tc>
          <w:tcPr>
            <w:tcW w:type="dxa" w:w="2160"/>
          </w:tcPr>
          <w:p>
            <w:r>
              <w:t>4 310 MWh</w:t>
            </w:r>
          </w:p>
        </w:tc>
        <w:tc>
          <w:tcPr>
            <w:tcW w:type="dxa" w:w="2160"/>
          </w:tcPr>
          <w:p>
            <w:r>
              <w:t>+11,8 %</w:t>
            </w:r>
          </w:p>
        </w:tc>
      </w:tr>
      <w:tr>
        <w:tc>
          <w:tcPr>
            <w:tcW w:type="dxa" w:w="2160"/>
          </w:tcPr>
          <w:p>
            <w:r>
              <w:t>Chiffre d'affaires</w:t>
            </w:r>
          </w:p>
        </w:tc>
        <w:tc>
          <w:tcPr>
            <w:tcW w:type="dxa" w:w="2160"/>
          </w:tcPr>
          <w:p>
            <w:r>
              <w:t>578 000 €</w:t>
            </w:r>
          </w:p>
        </w:tc>
        <w:tc>
          <w:tcPr>
            <w:tcW w:type="dxa" w:w="2160"/>
          </w:tcPr>
          <w:p>
            <w:r>
              <w:t>512 000 €</w:t>
            </w:r>
          </w:p>
        </w:tc>
        <w:tc>
          <w:tcPr>
            <w:tcW w:type="dxa" w:w="2160"/>
          </w:tcPr>
          <w:p>
            <w:r>
              <w:t>+12,9 %</w:t>
            </w:r>
          </w:p>
        </w:tc>
      </w:tr>
      <w:tr>
        <w:tc>
          <w:tcPr>
            <w:tcW w:type="dxa" w:w="2160"/>
          </w:tcPr>
          <w:p>
            <w:r>
              <w:t>Puissance installée</w:t>
            </w:r>
          </w:p>
        </w:tc>
        <w:tc>
          <w:tcPr>
            <w:tcW w:type="dxa" w:w="2160"/>
          </w:tcPr>
          <w:p>
            <w:r>
              <w:t>12,6 MWc</w:t>
            </w:r>
          </w:p>
        </w:tc>
        <w:tc>
          <w:tcPr>
            <w:tcW w:type="dxa" w:w="2160"/>
          </w:tcPr>
          <w:p>
            <w:r>
              <w:t>11,2 MWc</w:t>
            </w:r>
          </w:p>
        </w:tc>
        <w:tc>
          <w:tcPr>
            <w:tcW w:type="dxa" w:w="2160"/>
          </w:tcPr>
          <w:p>
            <w:r>
              <w:t>+1,4 MWc</w:t>
            </w:r>
          </w:p>
        </w:tc>
      </w:tr>
      <w:tr>
        <w:tc>
          <w:tcPr>
            <w:tcW w:type="dxa" w:w="2160"/>
          </w:tcPr>
          <w:p>
            <w:r>
              <w:t>Taux de disponibilité des onduleurs</w:t>
            </w:r>
          </w:p>
        </w:tc>
        <w:tc>
          <w:tcPr>
            <w:tcW w:type="dxa" w:w="2160"/>
          </w:tcPr>
          <w:p>
            <w:r>
              <w:t>96,4 %</w:t>
            </w:r>
          </w:p>
        </w:tc>
        <w:tc>
          <w:tcPr>
            <w:tcW w:type="dxa" w:w="2160"/>
          </w:tcPr>
          <w:p>
            <w:r>
              <w:t>94,1 %</w:t>
            </w:r>
          </w:p>
        </w:tc>
        <w:tc>
          <w:tcPr>
            <w:tcW w:type="dxa" w:w="2160"/>
          </w:tcPr>
          <w:p>
            <w:r>
              <w:t>+2,3 points</w:t>
            </w:r>
          </w:p>
        </w:tc>
      </w:tr>
      <w:tr>
        <w:tc>
          <w:tcPr>
            <w:tcW w:type="dxa" w:w="2160"/>
          </w:tcPr>
          <w:p>
            <w:r>
              <w:t>Incidents d'exploitation</w:t>
            </w:r>
          </w:p>
        </w:tc>
        <w:tc>
          <w:tcPr>
            <w:tcW w:type="dxa" w:w="2160"/>
          </w:tcPr>
          <w:p>
            <w:r>
              <w:t>7</w:t>
            </w:r>
          </w:p>
        </w:tc>
        <w:tc>
          <w:tcPr>
            <w:tcW w:type="dxa" w:w="2160"/>
          </w:tcPr>
          <w:p>
            <w:r>
              <w:t>11</w:t>
            </w:r>
          </w:p>
        </w:tc>
        <w:tc>
          <w:tcPr>
            <w:tcW w:type="dxa" w:w="2160"/>
          </w:tcPr>
          <w:p>
            <w:r>
              <w:t>−4 incidents</w:t>
            </w:r>
          </w:p>
        </w:tc>
      </w:tr>
      <w:tr>
        <w:tc>
          <w:tcPr>
            <w:tcW w:type="dxa" w:w="2160"/>
          </w:tcPr>
          <w:p>
            <w:r>
              <w:t>Coût d'exploitation au MWh</w:t>
            </w:r>
          </w:p>
        </w:tc>
        <w:tc>
          <w:tcPr>
            <w:tcW w:type="dxa" w:w="2160"/>
          </w:tcPr>
          <w:p>
            <w:r>
              <w:t>18,70 €</w:t>
            </w:r>
          </w:p>
        </w:tc>
        <w:tc>
          <w:tcPr>
            <w:tcW w:type="dxa" w:w="2160"/>
          </w:tcPr>
          <w:p>
            <w:r>
              <w:t>—</w:t>
            </w:r>
          </w:p>
        </w:tc>
        <w:tc>
          <w:tcPr>
            <w:tcW w:type="dxa" w:w="2160"/>
          </w:tcPr>
          <w:p>
            <w:r>
              <w:t>—</w:t>
            </w:r>
          </w:p>
        </w:tc>
      </w:tr>
    </w:tbl>
    <w:p/>
    <w:p>
      <w:r>
        <w:rPr>
          <w:b w:val="0"/>
          <w:i w:val="0"/>
        </w:rPr>
        <w:t>Le coût d'exploitation au MWh est calculé pour la première fois ce trimestre. Aucune comparaison n'est possible avec les périodes précédentes.</w:t>
      </w:r>
    </w:p>
    <w:p>
      <w:r>
        <w:rPr>
          <w:b w:val="0"/>
          <w:i w:val="0"/>
        </w:rPr>
        <w:t>L'objectif interne de disponibilité des onduleurs est fixé à 97 %. Il n'est pas atteint.</w:t>
      </w:r>
    </w:p>
    <w:p>
      <w:pPr>
        <w:pStyle w:val="Heading1"/>
      </w:pPr>
      <w:r>
        <w:t>3. Réalisations de la période</w:t>
      </w:r>
    </w:p>
    <w:p>
      <w:pPr>
        <w:pStyle w:val="Heading2"/>
      </w:pPr>
      <w:r>
        <w:t>3.1 Mise en service de l'extension sud</w:t>
      </w:r>
    </w:p>
    <w:p>
      <w:r>
        <w:rPr>
          <w:b w:val="0"/>
          <w:i w:val="0"/>
        </w:rPr>
        <w:t>L'extension de la centrale sud a été mise en service le 12 août 2026. Elle ajoute 1,4 MWc de puissance installée, portant le total du parc à 12,6 MWc. La réception technique a été prononcée sans réserve.</w:t>
      </w:r>
    </w:p>
    <w:p>
      <w:pPr>
        <w:pStyle w:val="Heading2"/>
      </w:pPr>
      <w:r>
        <w:t>3.2 Maintenance prédictive</w:t>
      </w:r>
    </w:p>
    <w:p>
      <w:r>
        <w:rPr>
          <w:b w:val="0"/>
          <w:i w:val="0"/>
        </w:rPr>
        <w:t>Le dispositif de suivi à distance couvre désormais 100 % des onduleurs, contre 68 % au trimestre précédent. Sur les 7 incidents du trimestre, 5 ont été détectés avant l'arrêt de production.</w:t>
      </w:r>
    </w:p>
    <w:p>
      <w:pPr>
        <w:pStyle w:val="Heading2"/>
      </w:pPr>
      <w:r>
        <w:t>3.3 Nettoyage des modules</w:t>
      </w:r>
    </w:p>
    <w:p>
      <w:r>
        <w:rPr>
          <w:b w:val="0"/>
          <w:i w:val="0"/>
        </w:rPr>
        <w:t>Deux campagnes de nettoyage ont été menées, en juillet et en septembre 2026. Le gain de production mesuré après la seconde campagne est de 3,1 %.</w:t>
      </w:r>
    </w:p>
    <w:p>
      <w:pPr>
        <w:pStyle w:val="Heading1"/>
      </w:pPr>
      <w:r>
        <w:t>4. Difficultés rencontrées et risques</w:t>
      </w:r>
    </w:p>
    <w:p>
      <w:pPr>
        <w:pStyle w:val="Heading2"/>
      </w:pPr>
      <w:r>
        <w:t>4.1 Approvisionnement en onduleurs</w:t>
      </w:r>
    </w:p>
    <w:p>
      <w:r>
        <w:rPr>
          <w:b w:val="0"/>
          <w:i w:val="0"/>
        </w:rPr>
        <w:t>Le délai de livraison des onduleurs de remplacement est passé de 6 à 14 semaines. Deux onduleurs de la centrale est fonctionnent en mode dégradé dans l'attente d'une pièce. La perte de production associée est estimée à 42 MWh sur le trimestre.</w:t>
      </w:r>
    </w:p>
    <w:p>
      <w:pPr>
        <w:pStyle w:val="Heading2"/>
      </w:pPr>
      <w:r>
        <w:t>4.2 Foncier de la future centrale</w:t>
      </w:r>
    </w:p>
    <w:p>
      <w:r>
        <w:rPr>
          <w:b w:val="0"/>
          <w:i w:val="0"/>
        </w:rPr>
        <w:t>La promesse de bail sur la parcelle visée n'est pas signée. Le propriétaire demande une révision du loyer. Le montant proposé n'est pas précisé dans les échanges à ce stade.</w:t>
      </w:r>
    </w:p>
    <w:p>
      <w:pPr>
        <w:pStyle w:val="Heading2"/>
      </w:pPr>
      <w:r>
        <w:t>4.3 Saison cyclonique</w:t>
      </w:r>
    </w:p>
    <w:p>
      <w:r>
        <w:rPr>
          <w:b w:val="0"/>
          <w:i w:val="0"/>
        </w:rPr>
        <w:t>La saison cyclonique débute en novembre. Le plan de mise en sécurité du parc existe, mais il n'a pas été testé depuis 2024.</w:t>
      </w:r>
    </w:p>
    <w:p>
      <w:pPr>
        <w:pStyle w:val="Heading1"/>
      </w:pPr>
      <w:r>
        <w:t>5. Actions à mener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Responsable</w:t>
            </w:r>
          </w:p>
        </w:tc>
        <w:tc>
          <w:tcPr>
            <w:tcW w:type="dxa" w:w="2880"/>
          </w:tcPr>
          <w:p>
            <w:r>
              <w:rPr>
                <w:b/>
              </w:rPr>
              <w:t>Échéance</w:t>
            </w:r>
          </w:p>
        </w:tc>
      </w:tr>
      <w:tr>
        <w:tc>
          <w:tcPr>
            <w:tcW w:type="dxa" w:w="2880"/>
          </w:tcPr>
          <w:p>
            <w:r>
              <w:t>Constituer un stock tampon de deux onduleurs</w:t>
            </w:r>
          </w:p>
        </w:tc>
        <w:tc>
          <w:tcPr>
            <w:tcW w:type="dxa" w:w="2880"/>
          </w:tcPr>
          <w:p>
            <w:r>
              <w:t>M. Payet</w:t>
            </w:r>
          </w:p>
        </w:tc>
        <w:tc>
          <w:tcPr>
            <w:tcW w:type="dxa" w:w="2880"/>
          </w:tcPr>
          <w:p>
            <w:r>
              <w:t>30 novembre 2026</w:t>
            </w:r>
          </w:p>
        </w:tc>
      </w:tr>
      <w:tr>
        <w:tc>
          <w:tcPr>
            <w:tcW w:type="dxa" w:w="2880"/>
          </w:tcPr>
          <w:p>
            <w:r>
              <w:t>Renégocier la promesse de bail</w:t>
            </w:r>
          </w:p>
        </w:tc>
        <w:tc>
          <w:tcPr>
            <w:tcW w:type="dxa" w:w="2880"/>
          </w:tcPr>
          <w:p>
            <w:r>
              <w:t>Non désigné à ce jour</w:t>
            </w:r>
          </w:p>
        </w:tc>
        <w:tc>
          <w:tcPr>
            <w:tcW w:type="dxa" w:w="2880"/>
          </w:tcPr>
          <w:p>
            <w:r>
              <w:t>15 décembre 2026</w:t>
            </w:r>
          </w:p>
        </w:tc>
      </w:tr>
      <w:tr>
        <w:tc>
          <w:tcPr>
            <w:tcW w:type="dxa" w:w="2880"/>
          </w:tcPr>
          <w:p>
            <w:r>
              <w:t>Tester le plan de mise en sécurité cyclonique</w:t>
            </w:r>
          </w:p>
        </w:tc>
        <w:tc>
          <w:tcPr>
            <w:tcW w:type="dxa" w:w="2880"/>
          </w:tcPr>
          <w:p>
            <w:r>
              <w:t>Service exploitation</w:t>
            </w:r>
          </w:p>
        </w:tc>
        <w:tc>
          <w:tcPr>
            <w:tcW w:type="dxa" w:w="2880"/>
          </w:tcPr>
          <w:p>
            <w:r>
              <w:t>31 octobre 2026</w:t>
            </w:r>
          </w:p>
        </w:tc>
      </w:tr>
      <w:tr>
        <w:tc>
          <w:tcPr>
            <w:tcW w:type="dxa" w:w="2880"/>
          </w:tcPr>
          <w:p>
            <w:r>
              <w:t>Fiabiliser le calcul du coût d'exploitation au MWh</w:t>
            </w:r>
          </w:p>
        </w:tc>
        <w:tc>
          <w:tcPr>
            <w:tcW w:type="dxa" w:w="2880"/>
          </w:tcPr>
          <w:p>
            <w:r>
              <w:t>Service exploitation</w:t>
            </w:r>
          </w:p>
        </w:tc>
        <w:tc>
          <w:tcPr>
            <w:tcW w:type="dxa" w:w="2880"/>
          </w:tcPr>
          <w:p>
            <w:r>
              <w:t>Non définie</w:t>
            </w:r>
          </w:p>
        </w:tc>
      </w:tr>
    </w:tbl>
    <w:p/>
    <w:p>
      <w:pPr>
        <w:pStyle w:val="Heading1"/>
      </w:pPr>
      <w:r>
        <w:t>6. Prochaines étapes</w:t>
      </w:r>
    </w:p>
    <w:p>
      <w:r>
        <w:rPr>
          <w:b w:val="0"/>
          <w:i w:val="0"/>
        </w:rPr>
        <w:t>Le quatrième trimestre 2026 sera consacré à la préparation de la saison cyclonique et à la remise de l'étude d'impact de la future centrale, attendue le 20 décembre 2026.</w:t>
      </w:r>
    </w:p>
    <w:p>
      <w:r>
        <w:rPr>
          <w:b w:val="0"/>
          <w:i w:val="0"/>
        </w:rPr>
        <w:t>Un comité d'exploitation est prévu le 18 novembre 2026 pour arbitrer le financement du stock tampon d'onduleurs.</w:t>
      </w:r>
    </w:p>
    <w:p>
      <w:pPr>
        <w:pStyle w:val="Heading1"/>
      </w:pPr>
      <w:r>
        <w:t>Annexe — Méthodologie</w:t>
      </w:r>
    </w:p>
    <w:p>
      <w:r>
        <w:rPr>
          <w:b w:val="0"/>
          <w:i w:val="0"/>
        </w:rPr>
        <w:t>Les volumes de production proviennent des compteurs de production des trois centrales. Le chiffre d'affaires est issu de la comptabilité arrêtée au 30 septembre 2026. Le taux de disponibilité est calculé sur les heures d'ensoleillement exploitables, non sur les heures calendaires.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