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1C6" w:rsidRPr="005509BF" w:rsidRDefault="008C21C6" w:rsidP="008C21C6">
      <w:pPr>
        <w:jc w:val="both"/>
        <w:rPr>
          <w:rFonts w:ascii="Arial" w:hAnsi="Arial" w:cs="Arial"/>
          <w:b/>
          <w:u w:val="single"/>
        </w:rPr>
      </w:pPr>
      <w:r w:rsidRPr="005509BF">
        <w:rPr>
          <w:rFonts w:ascii="Arial" w:hAnsi="Arial" w:cs="Arial"/>
          <w:b/>
          <w:u w:val="single"/>
        </w:rPr>
        <w:t>Acciones Realizadas:</w:t>
      </w:r>
    </w:p>
    <w:p w:rsidR="008C21C6" w:rsidRPr="005509BF" w:rsidRDefault="008C21C6" w:rsidP="008C21C6">
      <w:pPr>
        <w:jc w:val="both"/>
        <w:rPr>
          <w:rFonts w:ascii="Arial" w:hAnsi="Arial" w:cs="Arial"/>
        </w:rPr>
      </w:pPr>
      <w:r w:rsidRPr="005509BF">
        <w:rPr>
          <w:rFonts w:ascii="Arial" w:hAnsi="Arial" w:cs="Arial"/>
        </w:rPr>
        <w:t>El Grupo cumpliendo con sus funciones y atribuciones para minimizar los impactos negativos a causa de las deficiencias señaladas anterior ha diseñado:</w:t>
      </w:r>
    </w:p>
    <w:p w:rsidR="008C21C6" w:rsidRPr="005509BF" w:rsidRDefault="008C21C6" w:rsidP="008C21C6">
      <w:pPr>
        <w:pStyle w:val="ListParagraph"/>
        <w:numPr>
          <w:ilvl w:val="0"/>
          <w:numId w:val="1"/>
        </w:numPr>
        <w:spacing w:beforeLines="0" w:before="0" w:afterLines="0" w:after="120" w:line="264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5509BF">
        <w:rPr>
          <w:rFonts w:ascii="Arial" w:hAnsi="Arial" w:cs="Arial"/>
          <w:sz w:val="22"/>
          <w:szCs w:val="22"/>
        </w:rPr>
        <w:t>Manual de Control Interno.</w:t>
      </w:r>
    </w:p>
    <w:p w:rsidR="008C21C6" w:rsidRPr="005509BF" w:rsidRDefault="008C21C6" w:rsidP="008C21C6">
      <w:pPr>
        <w:pStyle w:val="ListParagraph"/>
        <w:numPr>
          <w:ilvl w:val="0"/>
          <w:numId w:val="1"/>
        </w:numPr>
        <w:spacing w:beforeLines="0" w:before="0" w:afterLines="0" w:after="120" w:line="264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5509BF">
        <w:rPr>
          <w:rFonts w:ascii="Arial" w:hAnsi="Arial" w:cs="Arial"/>
          <w:sz w:val="22"/>
          <w:szCs w:val="22"/>
        </w:rPr>
        <w:t xml:space="preserve">Procedimiento para el cuadre diario delimitando los responsables. </w:t>
      </w:r>
    </w:p>
    <w:p w:rsidR="008C21C6" w:rsidRPr="005509BF" w:rsidRDefault="008C21C6" w:rsidP="008C21C6">
      <w:pPr>
        <w:pStyle w:val="ListParagraph"/>
        <w:numPr>
          <w:ilvl w:val="0"/>
          <w:numId w:val="1"/>
        </w:numPr>
        <w:spacing w:beforeLines="0" w:before="0" w:afterLines="0" w:after="120" w:line="264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5509BF">
        <w:rPr>
          <w:rFonts w:ascii="Arial" w:hAnsi="Arial" w:cs="Arial"/>
          <w:sz w:val="22"/>
          <w:szCs w:val="22"/>
        </w:rPr>
        <w:t>Controles integrales a las empresas, dentro de otras cosas se revisa la aplicación del procedimiento anterior.</w:t>
      </w:r>
    </w:p>
    <w:p w:rsidR="008C21C6" w:rsidRPr="005509BF" w:rsidRDefault="008C21C6" w:rsidP="008C21C6">
      <w:pPr>
        <w:pStyle w:val="ListParagraph"/>
        <w:numPr>
          <w:ilvl w:val="0"/>
          <w:numId w:val="1"/>
        </w:numPr>
        <w:spacing w:beforeLines="0" w:before="0" w:afterLines="0" w:after="120" w:line="264" w:lineRule="auto"/>
        <w:contextualSpacing/>
        <w:jc w:val="both"/>
        <w:rPr>
          <w:rFonts w:ascii="Arial" w:hAnsi="Arial" w:cs="Arial"/>
          <w:sz w:val="22"/>
          <w:szCs w:val="22"/>
        </w:rPr>
      </w:pPr>
      <w:r w:rsidRPr="005509BF">
        <w:rPr>
          <w:rFonts w:ascii="Arial" w:hAnsi="Arial" w:cs="Arial"/>
          <w:sz w:val="22"/>
          <w:szCs w:val="22"/>
        </w:rPr>
        <w:t>Despachos presenciales con las empresas al cierre para evaluar la calidad de los Estados Financieros.</w:t>
      </w:r>
    </w:p>
    <w:p w:rsidR="008C21C6" w:rsidRPr="005509BF" w:rsidRDefault="008C21C6" w:rsidP="008C21C6">
      <w:pPr>
        <w:pStyle w:val="ListParagraph"/>
        <w:spacing w:before="144" w:after="144"/>
        <w:jc w:val="both"/>
        <w:rPr>
          <w:rFonts w:ascii="Arial" w:hAnsi="Arial" w:cs="Arial"/>
          <w:sz w:val="22"/>
          <w:szCs w:val="22"/>
        </w:rPr>
      </w:pPr>
      <w:r w:rsidRPr="005509BF">
        <w:rPr>
          <w:rFonts w:ascii="Arial" w:hAnsi="Arial" w:cs="Arial"/>
          <w:sz w:val="22"/>
          <w:szCs w:val="22"/>
        </w:rPr>
        <w:t>Mayor rigurosidad en la aplicación de responsabilidades y penalizaciones en los sistemas de pagos, entre otras acciones.</w:t>
      </w:r>
    </w:p>
    <w:p w:rsidR="008C21C6" w:rsidRPr="005509BF" w:rsidRDefault="008C21C6" w:rsidP="008C21C6">
      <w:pPr>
        <w:pStyle w:val="ListParagraph"/>
        <w:spacing w:before="144" w:after="144"/>
        <w:jc w:val="both"/>
        <w:rPr>
          <w:rFonts w:ascii="Arial" w:hAnsi="Arial" w:cs="Arial"/>
          <w:b/>
          <w:sz w:val="22"/>
          <w:szCs w:val="22"/>
        </w:rPr>
      </w:pPr>
    </w:p>
    <w:p w:rsidR="008C21C6" w:rsidRDefault="008C21C6" w:rsidP="008C21C6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lang w:val="es-ES" w:eastAsia="es-ES"/>
        </w:rPr>
        <w:drawing>
          <wp:inline distT="0" distB="0" distL="0" distR="0" wp14:anchorId="74779F4B" wp14:editId="2C270279">
            <wp:extent cx="5347411" cy="3515489"/>
            <wp:effectExtent l="0" t="0" r="571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cabech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253" cy="351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1C6" w:rsidRDefault="008C21C6" w:rsidP="008C21C6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8C21C6" w:rsidRPr="005509BF" w:rsidRDefault="008C21C6" w:rsidP="008C21C6">
      <w:pPr>
        <w:spacing w:after="0" w:line="240" w:lineRule="auto"/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noProof/>
          <w:lang w:val="es-ES" w:eastAsia="es-ES"/>
        </w:rPr>
        <w:lastRenderedPageBreak/>
        <w:drawing>
          <wp:inline distT="0" distB="0" distL="0" distR="0" wp14:anchorId="6F96AA1B" wp14:editId="0208B8F6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C21C6" w:rsidRPr="005509BF" w:rsidRDefault="008C21C6" w:rsidP="008C21C6">
      <w:pPr>
        <w:spacing w:after="0" w:line="240" w:lineRule="auto"/>
        <w:jc w:val="both"/>
        <w:rPr>
          <w:rFonts w:ascii="Arial" w:eastAsia="Times New Roman" w:hAnsi="Arial" w:cs="Arial"/>
        </w:rPr>
      </w:pPr>
      <w:r w:rsidRPr="005509BF">
        <w:rPr>
          <w:rFonts w:ascii="Arial" w:eastAsia="Times New Roman" w:hAnsi="Arial" w:cs="Arial"/>
        </w:rPr>
        <w:t xml:space="preserve"> Las principales causas de la descapitalización son las siguientes:</w:t>
      </w:r>
    </w:p>
    <w:p w:rsidR="008C21C6" w:rsidRPr="005509BF" w:rsidRDefault="008C21C6" w:rsidP="008C21C6">
      <w:pPr>
        <w:spacing w:after="0" w:line="240" w:lineRule="auto"/>
        <w:jc w:val="both"/>
        <w:rPr>
          <w:rFonts w:ascii="Arial" w:eastAsia="Times New Roman" w:hAnsi="Arial" w:cs="Arial"/>
        </w:rPr>
      </w:pPr>
    </w:p>
    <w:p w:rsidR="008C21C6" w:rsidRPr="005509BF" w:rsidRDefault="008C21C6" w:rsidP="008C21C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5509BF">
        <w:rPr>
          <w:rFonts w:ascii="Arial" w:eastAsia="Times New Roman" w:hAnsi="Arial" w:cs="Arial"/>
        </w:rPr>
        <w:t>Las pérdidas y los faltantes originados por el no cumplimiento de las medidas de prevención y control interno.</w:t>
      </w:r>
    </w:p>
    <w:p w:rsidR="008C21C6" w:rsidRPr="005509BF" w:rsidRDefault="008C21C6" w:rsidP="008C21C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5509BF">
        <w:rPr>
          <w:rFonts w:ascii="Arial" w:eastAsia="Times New Roman" w:hAnsi="Arial" w:cs="Arial"/>
        </w:rPr>
        <w:t>Multas y moras por pagos fuera de fecha de los impuestos en años anteriores, debido al insuficiente financiamiento de sus principales clientes: las Empresas Minoristas del Comercio y la Gastronomía.</w:t>
      </w:r>
    </w:p>
    <w:p w:rsidR="008C21C6" w:rsidRPr="005509BF" w:rsidRDefault="008C21C6" w:rsidP="008C21C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5509BF">
        <w:rPr>
          <w:rFonts w:ascii="Arial" w:eastAsia="Times New Roman" w:hAnsi="Arial" w:cs="Arial"/>
        </w:rPr>
        <w:t>Cuentas por Cobrar no conciliadas oportunamente.</w:t>
      </w:r>
    </w:p>
    <w:p w:rsidR="008C21C6" w:rsidRPr="005509BF" w:rsidRDefault="008C21C6" w:rsidP="008C21C6">
      <w:pPr>
        <w:numPr>
          <w:ilvl w:val="0"/>
          <w:numId w:val="2"/>
        </w:numPr>
        <w:spacing w:after="0" w:line="240" w:lineRule="auto"/>
        <w:contextualSpacing/>
        <w:jc w:val="both"/>
        <w:rPr>
          <w:rFonts w:ascii="Arial" w:eastAsia="Times New Roman" w:hAnsi="Arial" w:cs="Arial"/>
        </w:rPr>
      </w:pPr>
      <w:r w:rsidRPr="005509BF">
        <w:rPr>
          <w:rFonts w:ascii="Arial" w:eastAsia="Times New Roman" w:hAnsi="Arial" w:cs="Arial"/>
        </w:rPr>
        <w:t>Errores contables no detectados dentro del período, constituyendo pérdidas en el período posterior.</w:t>
      </w:r>
    </w:p>
    <w:p w:rsidR="008C21C6" w:rsidRPr="005509BF" w:rsidRDefault="008C21C6" w:rsidP="008C21C6">
      <w:pPr>
        <w:spacing w:after="0" w:line="240" w:lineRule="auto"/>
        <w:jc w:val="both"/>
        <w:rPr>
          <w:rStyle w:val="CommentReference"/>
          <w:rFonts w:ascii="Arial" w:hAnsi="Arial" w:cs="Arial"/>
          <w:color w:val="FF0000"/>
        </w:rPr>
      </w:pPr>
    </w:p>
    <w:p w:rsidR="008C21C6" w:rsidRPr="005509BF" w:rsidRDefault="008C21C6" w:rsidP="008C21C6">
      <w:pPr>
        <w:spacing w:after="0" w:line="240" w:lineRule="auto"/>
        <w:jc w:val="both"/>
        <w:rPr>
          <w:rFonts w:ascii="Arial" w:eastAsia="Times New Roman" w:hAnsi="Arial" w:cs="Arial"/>
          <w:color w:val="FF0000"/>
        </w:rPr>
      </w:pPr>
      <w:r w:rsidRPr="005509BF">
        <w:rPr>
          <w:rFonts w:ascii="Arial" w:eastAsia="Times New Roman" w:hAnsi="Arial" w:cs="Arial"/>
        </w:rPr>
        <w:t xml:space="preserve">De las 20 empresas que integran el grupo 14 de ellas trabajan con crédito bancario que representa el 70%, aún es insuficiente y no están siendo objetivo los créditos resolventes al no cobrar en los términos oportunos para poderlos utilizar de una forma más efectiva, las empresas </w:t>
      </w:r>
      <w:proofErr w:type="spellStart"/>
      <w:r w:rsidRPr="005509BF">
        <w:rPr>
          <w:rFonts w:ascii="Arial" w:eastAsia="Times New Roman" w:hAnsi="Arial" w:cs="Arial"/>
        </w:rPr>
        <w:t>Mayabeque</w:t>
      </w:r>
      <w:proofErr w:type="spellEnd"/>
      <w:r w:rsidRPr="005509BF">
        <w:rPr>
          <w:rFonts w:ascii="Arial" w:eastAsia="Times New Roman" w:hAnsi="Arial" w:cs="Arial"/>
        </w:rPr>
        <w:t xml:space="preserve"> y Mercado Paralelo que no han logrado acceder al crédito y la empresa de Frigorífico no necesita solicitar crédito al presentar 29.5 MMP por encima de su capital necesario.</w:t>
      </w:r>
    </w:p>
    <w:p w:rsidR="008C21C6" w:rsidRPr="0077167B" w:rsidRDefault="008C21C6" w:rsidP="008C21C6">
      <w:pPr>
        <w:spacing w:after="0" w:line="240" w:lineRule="auto"/>
        <w:jc w:val="both"/>
        <w:rPr>
          <w:rFonts w:eastAsia="Times New Roman" w:cstheme="minorHAnsi"/>
          <w:color w:val="FF0000"/>
          <w:sz w:val="24"/>
          <w:szCs w:val="24"/>
        </w:rPr>
      </w:pPr>
    </w:p>
    <w:p w:rsidR="008C21C6" w:rsidRPr="005509BF" w:rsidRDefault="008C21C6" w:rsidP="008C21C6">
      <w:pPr>
        <w:spacing w:line="240" w:lineRule="auto"/>
        <w:jc w:val="both"/>
        <w:rPr>
          <w:rFonts w:ascii="Arial" w:eastAsia="Times New Roman" w:hAnsi="Arial" w:cs="Arial"/>
        </w:rPr>
      </w:pPr>
      <w:r w:rsidRPr="005509BF">
        <w:rPr>
          <w:rFonts w:ascii="Arial" w:eastAsia="Times New Roman" w:hAnsi="Arial" w:cs="Arial"/>
        </w:rPr>
        <w:t>Cuando analizamos la situación financiera comparada con igual periodo año anterior podemos observar que las razones de Solvencia se mantienen en 1.1 a lo igual que la Liquidez general en 0.7, la Liquidez Inmediata crece de 0.6 a 0.7, la Autonomía decrece de 12.7 a 9.9 y el Endeudamiento crece de 87.3 a 90.1.</w:t>
      </w:r>
    </w:p>
    <w:p w:rsidR="00622AA2" w:rsidRDefault="00622AA2">
      <w:bookmarkStart w:id="0" w:name="_GoBack"/>
      <w:bookmarkEnd w:id="0"/>
    </w:p>
    <w:sectPr w:rsidR="00622AA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857"/>
    <w:multiLevelType w:val="hybridMultilevel"/>
    <w:tmpl w:val="8EC23DB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D3370"/>
    <w:multiLevelType w:val="hybridMultilevel"/>
    <w:tmpl w:val="2018AB60"/>
    <w:lvl w:ilvl="0" w:tplc="080A000B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1C6"/>
    <w:rsid w:val="00622AA2"/>
    <w:rsid w:val="008C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75A3D3-7635-405B-B4A3-E68E8625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21C6"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1C6"/>
    <w:pPr>
      <w:spacing w:beforeLines="60" w:before="60" w:afterLines="60" w:after="60" w:line="240" w:lineRule="auto"/>
      <w:ind w:left="720"/>
      <w:jc w:val="center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8C21C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7EA-436F-9A58-AC15D71B8D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7EA-436F-9A58-AC15D71B8D8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7EA-436F-9A58-AC15D71B8D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03332480"/>
        <c:axId val="1004364528"/>
      </c:barChart>
      <c:catAx>
        <c:axId val="10033324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04364528"/>
        <c:crosses val="autoZero"/>
        <c:auto val="1"/>
        <c:lblAlgn val="ctr"/>
        <c:lblOffset val="100"/>
        <c:noMultiLvlLbl val="0"/>
      </c:catAx>
      <c:valAx>
        <c:axId val="1004364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00333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sedergsoft</dc:creator>
  <cp:keywords/>
  <dc:description/>
  <cp:lastModifiedBy>sedergsoft</cp:lastModifiedBy>
  <cp:revision>1</cp:revision>
  <dcterms:created xsi:type="dcterms:W3CDTF">2019-07-12T16:21:00Z</dcterms:created>
  <dcterms:modified xsi:type="dcterms:W3CDTF">2019-07-12T16:22:00Z</dcterms:modified>
</cp:coreProperties>
</file>