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D06" w:rsidRDefault="00B14D06" w:rsidP="00B14D06">
      <w:pPr>
        <w:pStyle w:val="Heading1"/>
        <w:rPr>
          <w:rFonts w:ascii="Arial" w:hAnsi="Arial" w:cs="Arial"/>
          <w:b/>
        </w:rPr>
      </w:pPr>
      <w:bookmarkStart w:id="0" w:name="_Toc499366316"/>
      <w:bookmarkStart w:id="1" w:name="_Toc499366789"/>
      <w:bookmarkStart w:id="2" w:name="_Toc509226505"/>
      <w:bookmarkStart w:id="3" w:name="_Toc514764012"/>
      <w:r w:rsidRPr="00656522">
        <w:rPr>
          <w:rFonts w:ascii="Arial" w:hAnsi="Arial" w:cs="Arial"/>
          <w:b/>
        </w:rPr>
        <w:t>Informe de la Dirección Comercial</w:t>
      </w:r>
      <w:bookmarkEnd w:id="0"/>
      <w:bookmarkEnd w:id="1"/>
      <w:bookmarkEnd w:id="2"/>
      <w:bookmarkEnd w:id="3"/>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lang w:val="es-MX"/>
        </w:rPr>
        <w:t>2.1.1-La Dirección COMERCIAL responde por el Área de Resultado Clave denominada COMERCIAL, que asegura el cumplimiento del Objetivo: No.</w:t>
      </w:r>
      <w:r w:rsidRPr="00D5469C">
        <w:rPr>
          <w:rFonts w:ascii="Arial" w:hAnsi="Arial" w:cs="Arial"/>
          <w:sz w:val="22"/>
          <w:szCs w:val="22"/>
        </w:rPr>
        <w:t xml:space="preserve">2: Garantizar el cumplimiento del plan de ventas y los ciclos de aprovisionamientos que propendan a una colocación oportuna en el mercado y la satisfacción de los clientes, </w:t>
      </w:r>
      <w:r w:rsidRPr="00D5469C">
        <w:rPr>
          <w:rFonts w:ascii="Arial" w:hAnsi="Arial" w:cs="Arial"/>
          <w:sz w:val="22"/>
          <w:szCs w:val="22"/>
          <w:lang w:val="es-MX"/>
        </w:rPr>
        <w:t>asociado a los</w:t>
      </w:r>
      <w:r w:rsidRPr="00D5469C">
        <w:rPr>
          <w:rFonts w:ascii="Arial" w:hAnsi="Arial" w:cs="Arial"/>
          <w:sz w:val="22"/>
          <w:szCs w:val="22"/>
        </w:rPr>
        <w:t xml:space="preserve"> Lineamientos </w:t>
      </w:r>
      <w:r w:rsidRPr="00D5469C">
        <w:rPr>
          <w:rFonts w:ascii="Arial" w:hAnsi="Arial" w:cs="Arial"/>
          <w:sz w:val="22"/>
          <w:szCs w:val="22"/>
          <w:lang w:val="es-MX"/>
        </w:rPr>
        <w:t>Económicos y Sociales</w:t>
      </w:r>
      <w:r w:rsidRPr="00D5469C">
        <w:rPr>
          <w:rFonts w:ascii="Arial" w:hAnsi="Arial" w:cs="Arial"/>
          <w:sz w:val="22"/>
          <w:szCs w:val="22"/>
        </w:rPr>
        <w:t>: 246, 250, 251, 252, 253, 254).</w:t>
      </w:r>
      <w:r w:rsidRPr="00D5469C">
        <w:rPr>
          <w:rFonts w:ascii="Arial" w:hAnsi="Arial" w:cs="Arial"/>
          <w:sz w:val="22"/>
          <w:szCs w:val="22"/>
          <w:lang w:val="es-MX"/>
        </w:rPr>
        <w:t xml:space="preserve"> Tributando las Direcciones Técnica y Jurídica, con los indicadores No. 2.5 y 2.8 referido ha </w:t>
      </w:r>
      <w:r w:rsidRPr="00D5469C">
        <w:rPr>
          <w:rFonts w:ascii="Arial" w:hAnsi="Arial" w:cs="Arial"/>
          <w:sz w:val="22"/>
          <w:szCs w:val="22"/>
        </w:rPr>
        <w:t>Creado el 100% de los laboratorios de calidad en las Unidad Empresarial de Base y Garantizado el 100% de los contratos con los proveedores y clientes, respectivamente.</w:t>
      </w:r>
    </w:p>
    <w:p w:rsidR="00B14D06" w:rsidRPr="00D5469C" w:rsidRDefault="00B14D06" w:rsidP="00B14D06">
      <w:pPr>
        <w:jc w:val="both"/>
        <w:rPr>
          <w:rFonts w:ascii="Arial" w:hAnsi="Arial" w:cs="Arial"/>
          <w:b/>
          <w:bCs/>
        </w:rPr>
      </w:pPr>
      <w:r w:rsidRPr="00D5469C">
        <w:rPr>
          <w:rFonts w:ascii="Arial" w:hAnsi="Arial" w:cs="Arial"/>
        </w:rPr>
        <w:t>La situación que presenta el cumplimiento de cada indicador, se muestra a continuación:</w:t>
      </w:r>
    </w:p>
    <w:p w:rsidR="00B14D06" w:rsidRPr="00D5469C" w:rsidRDefault="00B14D06" w:rsidP="00B14D06">
      <w:pPr>
        <w:spacing w:after="0" w:line="240" w:lineRule="auto"/>
        <w:jc w:val="both"/>
        <w:rPr>
          <w:rFonts w:ascii="Arial" w:hAnsi="Arial" w:cs="Arial"/>
          <w:b/>
          <w:color w:val="0D0D0D"/>
          <w:lang w:eastAsia="es-MX"/>
        </w:rPr>
      </w:pPr>
      <w:r w:rsidRPr="00D5469C">
        <w:rPr>
          <w:rFonts w:ascii="Arial" w:hAnsi="Arial" w:cs="Arial"/>
          <w:b/>
        </w:rPr>
        <w:t xml:space="preserve">2.1. </w:t>
      </w:r>
      <w:r w:rsidRPr="00D5469C">
        <w:rPr>
          <w:rFonts w:ascii="Arial" w:hAnsi="Arial" w:cs="Arial"/>
          <w:b/>
          <w:color w:val="0D0D0D"/>
          <w:lang w:eastAsia="es-MX"/>
        </w:rPr>
        <w:t>Se asegura el cumplimiento del plan de ventas del mes.</w:t>
      </w:r>
    </w:p>
    <w:p w:rsidR="00B14D06" w:rsidRPr="00D5469C" w:rsidRDefault="00B14D06" w:rsidP="00B14D06">
      <w:pPr>
        <w:pStyle w:val="Sinespaciado1"/>
        <w:jc w:val="both"/>
        <w:rPr>
          <w:rFonts w:ascii="Arial" w:hAnsi="Arial" w:cs="Arial"/>
        </w:rPr>
      </w:pPr>
    </w:p>
    <w:p w:rsidR="00B14D06" w:rsidRPr="00D5469C" w:rsidRDefault="00B14D06" w:rsidP="00B14D06">
      <w:pPr>
        <w:pStyle w:val="Sinespaciado1"/>
        <w:jc w:val="both"/>
        <w:rPr>
          <w:rFonts w:ascii="Arial" w:hAnsi="Arial" w:cs="Arial"/>
        </w:rPr>
      </w:pPr>
      <w:r w:rsidRPr="00D5469C">
        <w:rPr>
          <w:rFonts w:ascii="Arial" w:hAnsi="Arial" w:cs="Arial"/>
        </w:rPr>
        <w:t xml:space="preserve">Se cumplieron las entregas del mes de abril garantizando los productos para el 1ro.de mayo en todas las provincias excepto Matanzas en los productos Arroz que concluyo el día 7 de mayo en el municipio Jovellanos, Aceite en los municipios Los Arabos que se concluyó el día 6 de mayo y Colon quedando pendientes 54 unidades con afectación en 10 mil 925 consumidores , cumpliéndose al 99% a nivel nacional, al cierre 30 de abril, garantizando presencia en la red en las bodegas de todo el país dándole seguimiento a los productos arroz, pastas alimenticias y café según el ciclo de distribución.  </w:t>
      </w:r>
    </w:p>
    <w:p w:rsidR="00B14D06" w:rsidRPr="00D5469C" w:rsidRDefault="00B14D06" w:rsidP="00B14D06">
      <w:pPr>
        <w:spacing w:after="0" w:line="240" w:lineRule="auto"/>
        <w:jc w:val="both"/>
        <w:rPr>
          <w:rFonts w:ascii="Arial" w:hAnsi="Arial" w:cs="Arial"/>
          <w:b/>
          <w:bCs/>
          <w:iCs/>
        </w:rPr>
      </w:pPr>
    </w:p>
    <w:p w:rsidR="00B14D06" w:rsidRPr="00D5469C" w:rsidRDefault="00B14D06" w:rsidP="00B14D06">
      <w:pPr>
        <w:spacing w:after="0" w:line="240" w:lineRule="auto"/>
        <w:jc w:val="both"/>
        <w:rPr>
          <w:rFonts w:ascii="Arial" w:hAnsi="Arial" w:cs="Arial"/>
          <w:b/>
          <w:bCs/>
          <w:iCs/>
        </w:rPr>
      </w:pPr>
      <w:r w:rsidRPr="00D5469C">
        <w:rPr>
          <w:rFonts w:ascii="Arial" w:hAnsi="Arial" w:cs="Arial"/>
          <w:b/>
          <w:bCs/>
          <w:iCs/>
        </w:rPr>
        <w:t>COMPORTAMIENTO DEL MERCADO PARALELO EN EL MES Y ACUMULADO:</w:t>
      </w:r>
    </w:p>
    <w:p w:rsidR="00B14D06" w:rsidRPr="00D5469C" w:rsidRDefault="00B14D06" w:rsidP="00B14D06">
      <w:pPr>
        <w:spacing w:after="0" w:line="240" w:lineRule="auto"/>
        <w:jc w:val="both"/>
        <w:rPr>
          <w:rFonts w:ascii="Arial" w:hAnsi="Arial" w:cs="Arial"/>
          <w:b/>
          <w:bCs/>
          <w:iCs/>
        </w:rPr>
      </w:pPr>
    </w:p>
    <w:p w:rsidR="00B14D06" w:rsidRPr="00D5469C" w:rsidRDefault="00B14D06" w:rsidP="00B14D06">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MES DE ABRIL</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b/>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7"/>
        <w:gridCol w:w="685"/>
        <w:gridCol w:w="1077"/>
        <w:gridCol w:w="1023"/>
        <w:gridCol w:w="901"/>
        <w:gridCol w:w="1151"/>
        <w:gridCol w:w="1151"/>
        <w:gridCol w:w="1041"/>
      </w:tblGrid>
      <w:tr w:rsidR="00B14D06" w:rsidRPr="00D5469C" w:rsidTr="00A30BEE">
        <w:trPr>
          <w:gridBefore w:val="2"/>
          <w:wBefore w:w="2522" w:type="dxa"/>
          <w:trHeight w:val="270"/>
          <w:jc w:val="center"/>
        </w:trPr>
        <w:tc>
          <w:tcPr>
            <w:tcW w:w="3001" w:type="dxa"/>
            <w:gridSpan w:val="3"/>
            <w:tcBorders>
              <w:top w:val="single" w:sz="4" w:space="0" w:color="auto"/>
              <w:left w:val="single" w:sz="4" w:space="0" w:color="auto"/>
              <w:bottom w:val="nil"/>
              <w:right w:val="single" w:sz="4" w:space="0" w:color="auto"/>
            </w:tcBorders>
          </w:tcPr>
          <w:p w:rsidR="00B14D06" w:rsidRPr="00D5469C" w:rsidRDefault="00B14D06" w:rsidP="00A30BEE">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MES:ABRIL</w:t>
            </w:r>
          </w:p>
        </w:tc>
        <w:tc>
          <w:tcPr>
            <w:tcW w:w="3343" w:type="dxa"/>
            <w:gridSpan w:val="3"/>
            <w:tcBorders>
              <w:top w:val="single" w:sz="4" w:space="0" w:color="auto"/>
              <w:left w:val="single" w:sz="4" w:space="0" w:color="auto"/>
              <w:bottom w:val="nil"/>
              <w:right w:val="single" w:sz="4" w:space="0" w:color="auto"/>
            </w:tcBorders>
          </w:tcPr>
          <w:p w:rsidR="00B14D06" w:rsidRPr="00D5469C" w:rsidRDefault="00B14D06" w:rsidP="00A30BEE">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ACUMULADO H/ ABRIL</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Producto</w:t>
            </w:r>
          </w:p>
        </w:tc>
        <w:tc>
          <w:tcPr>
            <w:tcW w:w="685"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077"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023"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90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c>
          <w:tcPr>
            <w:tcW w:w="115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15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041" w:type="dxa"/>
            <w:tcBorders>
              <w:top w:val="single" w:sz="4" w:space="0" w:color="auto"/>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r>
      <w:tr w:rsidR="00B14D06" w:rsidRPr="00D5469C" w:rsidTr="00A30BEE">
        <w:tblPrEx>
          <w:tblCellMar>
            <w:left w:w="108" w:type="dxa"/>
            <w:right w:w="108" w:type="dxa"/>
          </w:tblCellMar>
          <w:tblLook w:val="01E0" w:firstRow="1" w:lastRow="1" w:firstColumn="1" w:lastColumn="1" w:noHBand="0" w:noVBand="0"/>
        </w:tblPrEx>
        <w:trPr>
          <w:trHeight w:val="294"/>
          <w:jc w:val="center"/>
        </w:trPr>
        <w:tc>
          <w:tcPr>
            <w:tcW w:w="1837" w:type="dxa"/>
            <w:tcBorders>
              <w:top w:val="single" w:sz="4" w:space="0" w:color="auto"/>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Pollo</w:t>
            </w:r>
          </w:p>
        </w:tc>
        <w:tc>
          <w:tcPr>
            <w:tcW w:w="685" w:type="dxa"/>
            <w:tcBorders>
              <w:top w:val="single" w:sz="4" w:space="0" w:color="auto"/>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3.975,0</w:t>
            </w:r>
          </w:p>
        </w:tc>
        <w:tc>
          <w:tcPr>
            <w:tcW w:w="1023"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3.160,8</w:t>
            </w:r>
          </w:p>
        </w:tc>
        <w:tc>
          <w:tcPr>
            <w:tcW w:w="90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814.2</w:t>
            </w:r>
          </w:p>
        </w:tc>
        <w:tc>
          <w:tcPr>
            <w:tcW w:w="115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15.150,0</w:t>
            </w:r>
          </w:p>
        </w:tc>
        <w:tc>
          <w:tcPr>
            <w:tcW w:w="115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15.312,0</w:t>
            </w:r>
          </w:p>
        </w:tc>
        <w:tc>
          <w:tcPr>
            <w:tcW w:w="1041" w:type="dxa"/>
            <w:tcBorders>
              <w:top w:val="single" w:sz="4" w:space="0" w:color="auto"/>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-162.38</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MDM</w:t>
            </w:r>
          </w:p>
        </w:tc>
        <w:tc>
          <w:tcPr>
            <w:tcW w:w="685"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1023"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330,0</w:t>
            </w:r>
          </w:p>
        </w:tc>
        <w:tc>
          <w:tcPr>
            <w:tcW w:w="90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1.275,0</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1.134,1</w:t>
            </w:r>
          </w:p>
        </w:tc>
        <w:tc>
          <w:tcPr>
            <w:tcW w:w="104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140,9</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Salchicha</w:t>
            </w:r>
          </w:p>
        </w:tc>
        <w:tc>
          <w:tcPr>
            <w:tcW w:w="685" w:type="dxa"/>
            <w:tcBorders>
              <w:left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485,0</w:t>
            </w:r>
          </w:p>
        </w:tc>
        <w:tc>
          <w:tcPr>
            <w:tcW w:w="1023"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437,9</w:t>
            </w:r>
          </w:p>
        </w:tc>
        <w:tc>
          <w:tcPr>
            <w:tcW w:w="90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47.1</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1.920,0</w:t>
            </w:r>
          </w:p>
        </w:tc>
        <w:tc>
          <w:tcPr>
            <w:tcW w:w="115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1.450,7</w:t>
            </w:r>
          </w:p>
        </w:tc>
        <w:tc>
          <w:tcPr>
            <w:tcW w:w="1041" w:type="dxa"/>
            <w:tcBorders>
              <w:left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469.3</w:t>
            </w:r>
          </w:p>
        </w:tc>
      </w:tr>
      <w:tr w:rsidR="00B14D06" w:rsidRPr="00D5469C" w:rsidTr="00A30BEE">
        <w:tblPrEx>
          <w:tblCellMar>
            <w:left w:w="108" w:type="dxa"/>
            <w:right w:w="108" w:type="dxa"/>
          </w:tblCellMar>
          <w:tblLook w:val="01E0" w:firstRow="1" w:lastRow="1" w:firstColumn="1" w:lastColumn="1" w:noHBand="0" w:noVBand="0"/>
        </w:tblPrEx>
        <w:trPr>
          <w:jc w:val="center"/>
        </w:trPr>
        <w:tc>
          <w:tcPr>
            <w:tcW w:w="1837"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r w:rsidRPr="00D5469C">
              <w:rPr>
                <w:rFonts w:ascii="Arial" w:eastAsia="Times New Roman" w:hAnsi="Arial" w:cs="Arial"/>
                <w:color w:val="000000"/>
                <w:lang w:eastAsia="es-ES"/>
              </w:rPr>
              <w:t>Perro Caliente</w:t>
            </w:r>
          </w:p>
        </w:tc>
        <w:tc>
          <w:tcPr>
            <w:tcW w:w="685"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Tn</w:t>
            </w:r>
            <w:proofErr w:type="spellEnd"/>
          </w:p>
        </w:tc>
        <w:tc>
          <w:tcPr>
            <w:tcW w:w="1077"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81.3</w:t>
            </w:r>
          </w:p>
        </w:tc>
        <w:tc>
          <w:tcPr>
            <w:tcW w:w="1023"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130.5</w:t>
            </w:r>
          </w:p>
        </w:tc>
        <w:tc>
          <w:tcPr>
            <w:tcW w:w="90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-49.2</w:t>
            </w:r>
          </w:p>
        </w:tc>
        <w:tc>
          <w:tcPr>
            <w:tcW w:w="115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400.17</w:t>
            </w:r>
          </w:p>
        </w:tc>
        <w:tc>
          <w:tcPr>
            <w:tcW w:w="115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411.25</w:t>
            </w:r>
          </w:p>
        </w:tc>
        <w:tc>
          <w:tcPr>
            <w:tcW w:w="1041" w:type="dxa"/>
            <w:tcBorders>
              <w:left w:val="single" w:sz="4" w:space="0" w:color="auto"/>
              <w:bottom w:val="single" w:sz="4" w:space="0" w:color="auto"/>
              <w:right w:val="single" w:sz="4" w:space="0" w:color="auto"/>
            </w:tcBorders>
          </w:tcPr>
          <w:p w:rsidR="00B14D06" w:rsidRPr="00D5469C" w:rsidRDefault="00B14D06" w:rsidP="00A30BEE">
            <w:pPr>
              <w:spacing w:after="0" w:line="240" w:lineRule="auto"/>
              <w:jc w:val="right"/>
              <w:rPr>
                <w:rFonts w:ascii="Arial" w:eastAsia="Times New Roman" w:hAnsi="Arial" w:cs="Arial"/>
                <w:color w:val="000000"/>
                <w:lang w:eastAsia="es-ES"/>
              </w:rPr>
            </w:pPr>
            <w:r w:rsidRPr="00D5469C">
              <w:rPr>
                <w:rFonts w:ascii="Arial" w:eastAsia="Times New Roman" w:hAnsi="Arial" w:cs="Arial"/>
                <w:color w:val="000000"/>
                <w:lang w:eastAsia="es-ES"/>
              </w:rPr>
              <w:t>-11.05</w:t>
            </w:r>
          </w:p>
        </w:tc>
      </w:tr>
    </w:tbl>
    <w:p w:rsidR="00B14D06" w:rsidRPr="00D5469C" w:rsidRDefault="00B14D06" w:rsidP="00B14D06">
      <w:pPr>
        <w:spacing w:after="0" w:line="240" w:lineRule="auto"/>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Empresas Mixtas</w:t>
      </w:r>
    </w:p>
    <w:p w:rsidR="00B14D06" w:rsidRPr="00D5469C" w:rsidRDefault="00B14D06" w:rsidP="00B14D06">
      <w:pPr>
        <w:spacing w:after="0" w:line="240" w:lineRule="auto"/>
        <w:ind w:left="720"/>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PAPAS Co.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336 075.0 CUC entregaron   353 937.8 CUC para un cumplimiento del 105%. </w:t>
      </w:r>
    </w:p>
    <w:p w:rsidR="00B14D06"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lastRenderedPageBreak/>
        <w:t>De un plan de 1 344 299.9 CUC acumulado hasta abril se han ejecutado un total de 1 905 221.9 CUC para un 142% de cumplimiento.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t xml:space="preserve">LOS PORTALES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de 1 835 675.1 CUC ejecutó   1 874 657.4 CUC para un 102% de cumplimiento.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7 343 552.6 CUC acumulado hasta abril se han ejecutado un total de 7 462 617.4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Default="00B14D06" w:rsidP="00B14D06">
      <w:pPr>
        <w:spacing w:after="0" w:line="240" w:lineRule="auto"/>
        <w:jc w:val="both"/>
        <w:rPr>
          <w:rFonts w:ascii="Arial" w:eastAsia="Times New Roman" w:hAnsi="Arial" w:cs="Arial"/>
          <w:b/>
          <w:color w:val="000000"/>
          <w:u w:val="single"/>
          <w:lang w:eastAsia="es-ES"/>
        </w:rPr>
      </w:pPr>
    </w:p>
    <w:p w:rsidR="00B14D06" w:rsidRPr="00D5469C" w:rsidRDefault="00B14D06" w:rsidP="00B14D06">
      <w:pPr>
        <w:spacing w:after="0" w:line="240" w:lineRule="auto"/>
        <w:jc w:val="both"/>
        <w:rPr>
          <w:rFonts w:ascii="Arial" w:eastAsia="Times New Roman" w:hAnsi="Arial" w:cs="Arial"/>
          <w:color w:val="000000"/>
          <w:u w:val="single"/>
          <w:lang w:eastAsia="es-ES"/>
        </w:rPr>
      </w:pPr>
      <w:r w:rsidRPr="00D5469C">
        <w:rPr>
          <w:rFonts w:ascii="Arial" w:eastAsia="Times New Roman" w:hAnsi="Arial" w:cs="Arial"/>
          <w:b/>
          <w:color w:val="000000"/>
          <w:u w:val="single"/>
          <w:lang w:eastAsia="es-ES"/>
        </w:rPr>
        <w:t>CORACAN</w:t>
      </w:r>
      <w:r w:rsidRPr="00D5469C">
        <w:rPr>
          <w:rFonts w:ascii="Arial" w:eastAsia="Times New Roman" w:hAnsi="Arial" w:cs="Arial"/>
          <w:color w:val="000000"/>
          <w:u w:val="single"/>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En el mes de abril de un plan de 70 104.5 CUC se ejecutó   62 735.0 CUC para un cumplimiento de 89%.</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 siguiente provincia en el mes: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 Habana 75 %, Pinar del Rio 62%, Artemisa 76%,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80% y Granma 80%.</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285 358.3 CUC acumulado hasta abril se han ejecutado un total de 269 884.4 CUC para un 95% de cumplimiento.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 Habana 87 %, Pinar del Rio 90%, Artemisa 94%,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95% Holguín 98%, Granma 72%, Santiago de cuba 98% y la Isla de la juventud 98%.</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El incumplimiento está dado por el producto Té, la falta de disponibilidad de materia prima, esto se debe a que el suministrador cerró temporalmente su fábrica por reparación y se quedaron sin inventario, piensan recuperar el atraso en el mes de mayo.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Default="00B14D06" w:rsidP="00B14D06">
      <w:pPr>
        <w:spacing w:after="0" w:line="240" w:lineRule="auto"/>
        <w:jc w:val="both"/>
        <w:rPr>
          <w:rFonts w:ascii="Arial" w:eastAsia="Times New Roman" w:hAnsi="Arial" w:cs="Arial"/>
          <w:b/>
          <w:u w:val="single"/>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 xml:space="preserve">BUCANERO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2 638 1</w:t>
      </w:r>
      <w:r>
        <w:rPr>
          <w:rFonts w:ascii="Arial" w:eastAsia="Times New Roman" w:hAnsi="Arial" w:cs="Arial"/>
          <w:lang w:eastAsia="es-ES"/>
        </w:rPr>
        <w:t>21.5 CUC entregaron 2</w:t>
      </w:r>
      <w:r w:rsidRPr="00D5469C">
        <w:rPr>
          <w:rFonts w:ascii="Arial" w:eastAsia="Times New Roman" w:hAnsi="Arial" w:cs="Arial"/>
          <w:lang w:eastAsia="es-ES"/>
        </w:rPr>
        <w:t xml:space="preserve"> 105 924 CUC para un cumplimiento del 80%.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 siguiente provincia:</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Villa clara 72%, Cienfuegos 60%, Camagüey 63%, Granma 66% y Santiago Cuba 49%.</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9 652 237.1% CUC acumulado hasta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se han ejecutado un total de 9 861 053.7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Incumple la siguiente provincia: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95%, Cienfuegos 95%, Camagüey 86%, Granma 85%, Santiago de Cuba 95%.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incumplimiento está dado por la cerveza Presidente y los sobrecumplimientos fueron adelanto del mes de mayo.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Default="00B14D06" w:rsidP="00B14D06">
      <w:pPr>
        <w:spacing w:after="0" w:line="240" w:lineRule="auto"/>
        <w:rPr>
          <w:rFonts w:eastAsia="Times New Roman"/>
          <w:b/>
          <w:sz w:val="24"/>
          <w:szCs w:val="24"/>
          <w:u w:val="single"/>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 xml:space="preserve">CUBARON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166 243.8 CUC entregaron 217 182 CUC para un cumplimiento del 131%.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Pinar del Rio 33%, Santiago de Cuba 76%.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Provincias Villa Clara, Cienfuegos, Sancti </w:t>
      </w:r>
      <w:proofErr w:type="spellStart"/>
      <w:r w:rsidRPr="00D5469C">
        <w:rPr>
          <w:rFonts w:ascii="Arial" w:eastAsia="Times New Roman" w:hAnsi="Arial" w:cs="Arial"/>
          <w:color w:val="000000"/>
          <w:lang w:eastAsia="es-ES"/>
        </w:rPr>
        <w:t>Spiritus</w:t>
      </w:r>
      <w:proofErr w:type="spellEnd"/>
      <w:r w:rsidRPr="00D5469C">
        <w:rPr>
          <w:rFonts w:ascii="Arial" w:eastAsia="Times New Roman" w:hAnsi="Arial" w:cs="Arial"/>
          <w:color w:val="000000"/>
          <w:lang w:eastAsia="es-ES"/>
        </w:rPr>
        <w:t xml:space="preserve"> e Isla de la Juventud no se le entregó.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665 010.7% CUC acumulado hasta abril se han ejecutado un total de 639 908.1 CUC para un 96%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Pinar del Rio 86%, Villa Clara 68%, Cienfuegos 68%, Sancti </w:t>
      </w:r>
      <w:proofErr w:type="spellStart"/>
      <w:r w:rsidRPr="00D5469C">
        <w:rPr>
          <w:rFonts w:ascii="Arial" w:eastAsia="Times New Roman" w:hAnsi="Arial" w:cs="Arial"/>
          <w:color w:val="000000"/>
          <w:lang w:eastAsia="es-ES"/>
        </w:rPr>
        <w:t>Spiritus</w:t>
      </w:r>
      <w:proofErr w:type="spellEnd"/>
      <w:r w:rsidRPr="00D5469C">
        <w:rPr>
          <w:rFonts w:ascii="Arial" w:eastAsia="Times New Roman" w:hAnsi="Arial" w:cs="Arial"/>
          <w:color w:val="000000"/>
          <w:lang w:eastAsia="es-ES"/>
        </w:rPr>
        <w:t xml:space="preserve"> 61%, Granma 95% Santiago de Cuba 73% e Isla de la Juventud 66%.</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La causa fundamental del incumplimiento está en los rones especiales que presentan problemas productivos y continúan recuperándose en la entrega de los vinos.</w:t>
      </w:r>
    </w:p>
    <w:p w:rsidR="00B14D06" w:rsidRPr="00ED43FE" w:rsidRDefault="00B14D06" w:rsidP="00B14D06">
      <w:pPr>
        <w:spacing w:after="0" w:line="240" w:lineRule="auto"/>
        <w:rPr>
          <w:rFonts w:eastAsia="Times New Roman"/>
          <w:b/>
          <w:color w:val="000000"/>
          <w:sz w:val="24"/>
          <w:szCs w:val="24"/>
          <w:lang w:eastAsia="es-ES"/>
        </w:rPr>
      </w:pPr>
    </w:p>
    <w:p w:rsidR="00B14D06" w:rsidRPr="00ED43FE" w:rsidRDefault="00B14D06" w:rsidP="00B14D06">
      <w:pPr>
        <w:spacing w:after="0" w:line="240" w:lineRule="auto"/>
        <w:ind w:left="720"/>
        <w:rPr>
          <w:rFonts w:eastAsia="Times New Roman"/>
          <w:b/>
          <w:color w:val="000000"/>
          <w:sz w:val="24"/>
          <w:szCs w:val="24"/>
          <w:lang w:eastAsia="es-ES"/>
        </w:rPr>
      </w:pPr>
    </w:p>
    <w:p w:rsidR="00B14D06" w:rsidRPr="00D5469C" w:rsidRDefault="00B14D06" w:rsidP="00B14D06">
      <w:pPr>
        <w:spacing w:after="0" w:line="240" w:lineRule="auto"/>
        <w:jc w:val="both"/>
        <w:rPr>
          <w:rFonts w:ascii="Arial" w:eastAsia="Times New Roman" w:hAnsi="Arial" w:cs="Arial"/>
          <w:b/>
          <w:color w:val="000000"/>
          <w:lang w:eastAsia="es-ES"/>
        </w:rPr>
      </w:pPr>
      <w:r w:rsidRPr="00D5469C">
        <w:rPr>
          <w:rFonts w:ascii="Arial" w:eastAsia="Times New Roman" w:hAnsi="Arial" w:cs="Arial"/>
          <w:b/>
          <w:color w:val="000000"/>
          <w:lang w:eastAsia="es-ES"/>
        </w:rPr>
        <w:t>Empresas Nacionales (GEIA)</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color w:val="FF0000"/>
          <w:u w:val="single"/>
          <w:lang w:eastAsia="es-ES"/>
        </w:rPr>
      </w:pPr>
      <w:r w:rsidRPr="00D5469C">
        <w:rPr>
          <w:rFonts w:ascii="Arial" w:eastAsia="Times New Roman" w:hAnsi="Arial" w:cs="Arial"/>
          <w:b/>
          <w:u w:val="single"/>
          <w:lang w:eastAsia="es-ES"/>
        </w:rPr>
        <w:t>CERVECERÌAS:</w:t>
      </w:r>
      <w:r w:rsidRPr="00D5469C">
        <w:rPr>
          <w:rFonts w:ascii="Arial" w:eastAsia="Times New Roman" w:hAnsi="Arial" w:cs="Arial"/>
          <w:b/>
          <w:color w:val="FF0000"/>
          <w:u w:val="single"/>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cumplen al 99% de forma total, pues de un plan de 686 100.5 CUC, entregaron 677 884.6 CUC.</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caso de la embotellada se cumplió en el mes al 96%.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Villa Clara 97%, Sancti </w:t>
      </w:r>
      <w:proofErr w:type="spellStart"/>
      <w:r w:rsidRPr="00D5469C">
        <w:rPr>
          <w:rFonts w:ascii="Arial" w:eastAsia="Times New Roman" w:hAnsi="Arial" w:cs="Arial"/>
          <w:lang w:eastAsia="es-ES"/>
        </w:rPr>
        <w:t>Spiritus</w:t>
      </w:r>
      <w:proofErr w:type="spellEnd"/>
      <w:r w:rsidRPr="00D5469C">
        <w:rPr>
          <w:rFonts w:ascii="Arial" w:eastAsia="Times New Roman" w:hAnsi="Arial" w:cs="Arial"/>
          <w:lang w:eastAsia="es-ES"/>
        </w:rPr>
        <w:t xml:space="preserve"> 37%, Ciego de Ávila 65%, Camagüey 68% y Las Tunas 42%.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la dispensada, se cumplió en el mes al 113%.</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97%, Las Tunas 54%, Holguín 67% y Guantánamo al 98%.</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numPr>
          <w:ilvl w:val="0"/>
          <w:numId w:val="1"/>
        </w:numPr>
        <w:spacing w:after="0" w:line="240" w:lineRule="auto"/>
        <w:ind w:left="1070"/>
        <w:jc w:val="both"/>
        <w:rPr>
          <w:rFonts w:ascii="Arial" w:eastAsia="Times New Roman" w:hAnsi="Arial" w:cs="Arial"/>
          <w:lang w:eastAsia="es-ES"/>
        </w:rPr>
      </w:pPr>
      <w:r w:rsidRPr="00D5469C">
        <w:rPr>
          <w:rFonts w:ascii="Arial" w:eastAsia="Times New Roman" w:hAnsi="Arial" w:cs="Arial"/>
          <w:lang w:eastAsia="es-ES"/>
        </w:rPr>
        <w:t>Los incumplimientos estuvieron dados por problemas de la industria. (Mantenimientos planificados, rotura de la caldera, por prolongamiento de mantenimiento planificado por problemas tecnológicos y falta de agua).</w:t>
      </w:r>
    </w:p>
    <w:p w:rsidR="00B14D06" w:rsidRPr="00D5469C" w:rsidRDefault="00B14D06" w:rsidP="00B14D06">
      <w:pPr>
        <w:spacing w:after="0" w:line="240" w:lineRule="auto"/>
        <w:jc w:val="both"/>
        <w:rPr>
          <w:rFonts w:ascii="Arial" w:eastAsia="Times New Roman" w:hAnsi="Arial" w:cs="Arial"/>
          <w:lang w:eastAsia="es-ES"/>
        </w:rPr>
      </w:pPr>
    </w:p>
    <w:p w:rsidR="00B14D06" w:rsidRDefault="00B14D06" w:rsidP="00B14D06">
      <w:pPr>
        <w:spacing w:after="0" w:line="240" w:lineRule="auto"/>
        <w:jc w:val="center"/>
        <w:rPr>
          <w:rFonts w:eastAsia="Times New Roman"/>
          <w:b/>
          <w:sz w:val="24"/>
          <w:szCs w:val="24"/>
          <w:lang w:eastAsia="es-ES"/>
        </w:rPr>
      </w:pPr>
    </w:p>
    <w:p w:rsidR="00B14D06" w:rsidRDefault="00B14D06" w:rsidP="00B14D06">
      <w:pPr>
        <w:spacing w:after="0" w:line="240" w:lineRule="auto"/>
        <w:jc w:val="center"/>
        <w:rPr>
          <w:rFonts w:eastAsia="Times New Roman"/>
          <w:b/>
          <w:sz w:val="24"/>
          <w:szCs w:val="24"/>
          <w:lang w:eastAsia="es-ES"/>
        </w:rPr>
      </w:pPr>
    </w:p>
    <w:p w:rsidR="00B14D06" w:rsidRPr="00D5469C" w:rsidRDefault="00B14D06" w:rsidP="00B14D06">
      <w:pPr>
        <w:spacing w:after="0" w:line="240" w:lineRule="auto"/>
        <w:jc w:val="center"/>
        <w:rPr>
          <w:rFonts w:ascii="Arial" w:eastAsia="Times New Roman" w:hAnsi="Arial" w:cs="Arial"/>
          <w:b/>
          <w:lang w:eastAsia="es-ES"/>
        </w:rPr>
      </w:pPr>
      <w:r w:rsidRPr="00D5469C">
        <w:rPr>
          <w:rFonts w:ascii="Arial" w:eastAsia="Times New Roman" w:hAnsi="Arial" w:cs="Arial"/>
          <w:b/>
          <w:lang w:eastAsia="es-ES"/>
        </w:rPr>
        <w:t>CUMPLIMIENTO DE CERVECERIAS EN EL MES DE ABRIL</w:t>
      </w:r>
    </w:p>
    <w:p w:rsidR="00B14D06" w:rsidRDefault="00B14D06" w:rsidP="00B14D06">
      <w:pPr>
        <w:spacing w:after="0" w:line="240" w:lineRule="auto"/>
        <w:jc w:val="center"/>
        <w:rPr>
          <w:rFonts w:eastAsia="Times New Roman"/>
          <w:b/>
          <w:sz w:val="24"/>
          <w:szCs w:val="24"/>
          <w:lang w:eastAsia="es-ES"/>
        </w:rPr>
      </w:pPr>
    </w:p>
    <w:p w:rsidR="00B14D06" w:rsidRPr="00ED43FE" w:rsidRDefault="00B14D06" w:rsidP="00B14D06">
      <w:pPr>
        <w:spacing w:after="0" w:line="240" w:lineRule="auto"/>
        <w:jc w:val="center"/>
        <w:rPr>
          <w:rFonts w:eastAsia="Times New Roman"/>
          <w:b/>
          <w:sz w:val="24"/>
          <w:szCs w:val="24"/>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54"/>
        <w:gridCol w:w="1339"/>
        <w:gridCol w:w="1543"/>
        <w:gridCol w:w="1441"/>
        <w:gridCol w:w="1441"/>
      </w:tblGrid>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UM</w:t>
            </w:r>
          </w:p>
        </w:tc>
        <w:tc>
          <w:tcPr>
            <w:tcW w:w="1339"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 xml:space="preserve">Cerveza </w:t>
            </w:r>
            <w:proofErr w:type="spellStart"/>
            <w:r w:rsidRPr="00D5469C">
              <w:rPr>
                <w:rFonts w:ascii="Arial" w:eastAsia="Times New Roman" w:hAnsi="Arial" w:cs="Arial"/>
                <w:b/>
                <w:lang w:eastAsia="es-ES"/>
              </w:rPr>
              <w:t>Embot</w:t>
            </w:r>
            <w:proofErr w:type="spellEnd"/>
            <w:r w:rsidRPr="00D5469C">
              <w:rPr>
                <w:rFonts w:ascii="Arial" w:eastAsia="Times New Roman" w:hAnsi="Arial" w:cs="Arial"/>
                <w:b/>
                <w:lang w:eastAsia="es-ES"/>
              </w:rPr>
              <w:t>.</w:t>
            </w:r>
          </w:p>
        </w:tc>
        <w:tc>
          <w:tcPr>
            <w:tcW w:w="1543"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Cerveza</w:t>
            </w: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Disp.</w:t>
            </w:r>
          </w:p>
        </w:tc>
        <w:tc>
          <w:tcPr>
            <w:tcW w:w="1441"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Malta</w:t>
            </w:r>
          </w:p>
        </w:tc>
        <w:tc>
          <w:tcPr>
            <w:tcW w:w="1441"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TOTAL</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Plan</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7530137</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704 500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8600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1 466 237</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Real</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740 259</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788 445</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6930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1 535 634</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Dif</w:t>
            </w:r>
            <w:proofErr w:type="spellEnd"/>
            <w:r w:rsidRPr="00D5469C">
              <w:rPr>
                <w:rFonts w:ascii="Arial" w:eastAsia="Times New Roman" w:hAnsi="Arial" w:cs="Arial"/>
                <w:b/>
                <w:lang w:eastAsia="es-ES"/>
              </w:rPr>
              <w:t>.</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Cajas</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-12 878</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83 945</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-1670</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69 397</w:t>
            </w:r>
          </w:p>
        </w:tc>
      </w:tr>
      <w:tr w:rsidR="00B14D06" w:rsidRPr="00ED43FE" w:rsidTr="00A30BEE">
        <w:trPr>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proofErr w:type="spellStart"/>
            <w:r w:rsidRPr="00D5469C">
              <w:rPr>
                <w:rFonts w:ascii="Arial" w:eastAsia="Times New Roman" w:hAnsi="Arial" w:cs="Arial"/>
                <w:b/>
                <w:lang w:eastAsia="es-ES"/>
              </w:rPr>
              <w:t>Cumplim</w:t>
            </w:r>
            <w:proofErr w:type="spellEnd"/>
            <w:r w:rsidRPr="00D5469C">
              <w:rPr>
                <w:rFonts w:ascii="Arial" w:eastAsia="Times New Roman" w:hAnsi="Arial" w:cs="Arial"/>
                <w:b/>
                <w:lang w:eastAsia="es-ES"/>
              </w:rPr>
              <w:t>.</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98</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112</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81</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105</w:t>
            </w:r>
          </w:p>
        </w:tc>
      </w:tr>
      <w:tr w:rsidR="00B14D06" w:rsidRPr="00ED43FE" w:rsidTr="00A30BEE">
        <w:trPr>
          <w:trHeight w:val="425"/>
          <w:jc w:val="center"/>
        </w:trPr>
        <w:tc>
          <w:tcPr>
            <w:tcW w:w="1526" w:type="dxa"/>
            <w:vAlign w:val="bottom"/>
          </w:tcPr>
          <w:p w:rsidR="00B14D06" w:rsidRPr="00D5469C" w:rsidRDefault="00B14D06" w:rsidP="00A30BEE">
            <w:pPr>
              <w:spacing w:after="0" w:line="240" w:lineRule="auto"/>
              <w:rPr>
                <w:rFonts w:ascii="Arial" w:eastAsia="Times New Roman" w:hAnsi="Arial" w:cs="Arial"/>
                <w:b/>
                <w:lang w:eastAsia="es-ES"/>
              </w:rPr>
            </w:pPr>
          </w:p>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Aporta</w:t>
            </w:r>
          </w:p>
        </w:tc>
        <w:tc>
          <w:tcPr>
            <w:tcW w:w="1354" w:type="dxa"/>
            <w:vAlign w:val="bottom"/>
          </w:tcPr>
          <w:p w:rsidR="00B14D06" w:rsidRPr="00D5469C" w:rsidRDefault="00B14D06" w:rsidP="00A30BEE">
            <w:pPr>
              <w:spacing w:after="0" w:line="240" w:lineRule="auto"/>
              <w:rPr>
                <w:rFonts w:ascii="Arial" w:eastAsia="Times New Roman" w:hAnsi="Arial" w:cs="Arial"/>
                <w:b/>
                <w:lang w:eastAsia="es-ES"/>
              </w:rPr>
            </w:pPr>
            <w:r w:rsidRPr="00D5469C">
              <w:rPr>
                <w:rFonts w:ascii="Arial" w:eastAsia="Times New Roman" w:hAnsi="Arial" w:cs="Arial"/>
                <w:b/>
                <w:lang w:eastAsia="es-ES"/>
              </w:rPr>
              <w:t xml:space="preserve">C M Min. </w:t>
            </w:r>
          </w:p>
        </w:tc>
        <w:tc>
          <w:tcPr>
            <w:tcW w:w="1339"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0.87</w:t>
            </w:r>
          </w:p>
        </w:tc>
        <w:tc>
          <w:tcPr>
            <w:tcW w:w="1543"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12.09</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-0.18</w:t>
            </w:r>
          </w:p>
        </w:tc>
        <w:tc>
          <w:tcPr>
            <w:tcW w:w="1441" w:type="dxa"/>
            <w:vAlign w:val="bottom"/>
          </w:tcPr>
          <w:p w:rsidR="00B14D06" w:rsidRPr="00D5469C" w:rsidRDefault="00B14D06" w:rsidP="00A30BEE">
            <w:pPr>
              <w:spacing w:after="0" w:line="240" w:lineRule="auto"/>
              <w:jc w:val="right"/>
              <w:rPr>
                <w:rFonts w:ascii="Arial" w:eastAsia="Times New Roman" w:hAnsi="Arial" w:cs="Arial"/>
                <w:b/>
                <w:lang w:eastAsia="es-ES"/>
              </w:rPr>
            </w:pPr>
            <w:r w:rsidRPr="00D5469C">
              <w:rPr>
                <w:rFonts w:ascii="Arial" w:eastAsia="Times New Roman" w:hAnsi="Arial" w:cs="Arial"/>
                <w:b/>
                <w:lang w:eastAsia="es-ES"/>
              </w:rPr>
              <w:t>12.77</w:t>
            </w:r>
          </w:p>
        </w:tc>
      </w:tr>
    </w:tbl>
    <w:p w:rsidR="00B14D06" w:rsidRPr="00ED43FE" w:rsidRDefault="00B14D06" w:rsidP="00B14D06">
      <w:pPr>
        <w:spacing w:after="0" w:line="240" w:lineRule="auto"/>
        <w:rPr>
          <w:rFonts w:eastAsia="Times New Roman"/>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De un plan de 2 572 092 CUC acumulado hasta abril se han ejecutado un total de 2 571 134.1 CUC para un 100% de cumplimiento.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embotellada: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Pinar del Río, La Habana, Matanzas, Cienfuegos, Holguín, Granma y Santiago de Cuba.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Artemisa 96%, </w:t>
      </w:r>
      <w:proofErr w:type="spellStart"/>
      <w:r w:rsidRPr="00D5469C">
        <w:rPr>
          <w:rFonts w:ascii="Arial" w:eastAsia="Times New Roman" w:hAnsi="Arial" w:cs="Arial"/>
          <w:lang w:eastAsia="es-ES"/>
        </w:rPr>
        <w:t>Mayabeque</w:t>
      </w:r>
      <w:proofErr w:type="spellEnd"/>
      <w:r w:rsidRPr="00D5469C">
        <w:rPr>
          <w:rFonts w:ascii="Arial" w:eastAsia="Times New Roman" w:hAnsi="Arial" w:cs="Arial"/>
          <w:lang w:eastAsia="es-ES"/>
        </w:rPr>
        <w:t xml:space="preserve"> 98%, Villa Clara 86%, Sancti Spíritus 74%, Ciego de Ávila 87%, Camagüey 88%, Las Tunas 65% y Guantánamo 85%.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Cerveza dispensada: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Habana, Matanzas, Villa Clara, Cienfuegos, Sancti Spíritus, Camagüey, Granma y Santiago de Cuba.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Pinar del Río 95%, Artemisa 91%, </w:t>
      </w:r>
      <w:proofErr w:type="spellStart"/>
      <w:r w:rsidRPr="00D5469C">
        <w:rPr>
          <w:rFonts w:ascii="Arial" w:eastAsia="Times New Roman" w:hAnsi="Arial" w:cs="Arial"/>
          <w:lang w:eastAsia="es-ES"/>
        </w:rPr>
        <w:t>Mayabeque</w:t>
      </w:r>
      <w:proofErr w:type="spellEnd"/>
      <w:r w:rsidRPr="00D5469C">
        <w:rPr>
          <w:rFonts w:ascii="Arial" w:eastAsia="Times New Roman" w:hAnsi="Arial" w:cs="Arial"/>
          <w:lang w:eastAsia="es-ES"/>
        </w:rPr>
        <w:t xml:space="preserve"> 65%, Ciego de Ávila 96%, Las Tunas 53%, Holguín 73 % y Guantánamo al 92%.</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color w:val="000000"/>
          <w:u w:val="single"/>
          <w:lang w:eastAsia="es-ES"/>
        </w:rPr>
        <w:t>UNIÓN CONFITERA</w:t>
      </w: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en el mes   de abril de 214 679.5 CUC entregó 311 523.0        CUC para un cumplimiento de 145 %.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las siguientes provincias en el mes: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Ciego de Ávila 86%,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879 030.7 CUC acumulado hasta abril   se han ejecutado un total de 855 128.6 CUC para un 97%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94%, Matanzas 85%, Villa Clara 94%, Cienfuegos 96 %, Sancti Spíritus 90%, Ciego de Ávila 50%, Camagüey 89%, y Granma 75%.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numPr>
          <w:ilvl w:val="0"/>
          <w:numId w:val="2"/>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esta dado porque comenzó el año con paralización de la reparación de la fábrica de galletas por el horno, también problemas de materia prima (azúcar y harina), ya se han ido recuperando en algunas de las provincias, estos atrasos en el mes de mayo.</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ED43FE" w:rsidRDefault="00B14D06" w:rsidP="00B14D06">
      <w:pPr>
        <w:spacing w:after="0" w:line="240" w:lineRule="auto"/>
        <w:rPr>
          <w:rFonts w:eastAsia="Times New Roman"/>
          <w:b/>
          <w:color w:val="000000"/>
          <w:sz w:val="24"/>
          <w:szCs w:val="24"/>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CONSERVAS:</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en el mes de </w:t>
      </w:r>
      <w:proofErr w:type="gramStart"/>
      <w:r w:rsidRPr="00D5469C">
        <w:rPr>
          <w:rFonts w:ascii="Arial" w:eastAsia="Times New Roman" w:hAnsi="Arial" w:cs="Arial"/>
          <w:color w:val="000000"/>
          <w:lang w:eastAsia="es-ES"/>
        </w:rPr>
        <w:t>Abril</w:t>
      </w:r>
      <w:proofErr w:type="gramEnd"/>
      <w:r w:rsidRPr="00D5469C">
        <w:rPr>
          <w:rFonts w:ascii="Arial" w:eastAsia="Times New Roman" w:hAnsi="Arial" w:cs="Arial"/>
          <w:color w:val="000000"/>
          <w:lang w:eastAsia="es-ES"/>
        </w:rPr>
        <w:t xml:space="preserve"> de 189 484.39 CUC entregó 198 977.34 CUC para un cumplimiento de 105%.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 xml:space="preserve">A Camagüey no se le entregó nada, </w:t>
      </w:r>
      <w:r w:rsidRPr="00D5469C">
        <w:rPr>
          <w:rFonts w:ascii="Arial" w:eastAsia="Times New Roman" w:hAnsi="Arial" w:cs="Arial"/>
          <w:lang w:eastAsia="es-ES"/>
        </w:rPr>
        <w:t>Santiago 55.7% y Guantánamo 57%.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De un plan de </w:t>
      </w:r>
      <w:r>
        <w:rPr>
          <w:rFonts w:ascii="Arial" w:eastAsia="Times New Roman" w:hAnsi="Arial" w:cs="Arial"/>
          <w:color w:val="000000"/>
          <w:lang w:eastAsia="es-ES"/>
        </w:rPr>
        <w:t>664 538.12 CUC acumulado hasta a</w:t>
      </w:r>
      <w:r w:rsidRPr="00D5469C">
        <w:rPr>
          <w:rFonts w:ascii="Arial" w:eastAsia="Times New Roman" w:hAnsi="Arial" w:cs="Arial"/>
          <w:color w:val="000000"/>
          <w:lang w:eastAsia="es-ES"/>
        </w:rPr>
        <w:t>bril se han ejecutado un total de 693 376.63 CUC para un 105% de cumplimiento.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Camagüey 67%, Santiago de Cuba 58% y Guantánamo 57%.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 xml:space="preserve">Las causas del incumplimiento en estas provincias están dadas principalmente de forma general por: </w:t>
      </w:r>
    </w:p>
    <w:p w:rsidR="00B14D06" w:rsidRPr="00D5469C" w:rsidRDefault="00B14D06" w:rsidP="00B14D06">
      <w:pPr>
        <w:spacing w:after="0" w:line="240" w:lineRule="auto"/>
        <w:jc w:val="both"/>
        <w:rPr>
          <w:rFonts w:ascii="Arial" w:eastAsia="Times New Roman" w:hAnsi="Arial" w:cs="Arial"/>
          <w:bCs/>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lastRenderedPageBreak/>
        <w:t>La falta de disponibilidad de envase de medio kilo y la falta de materias primas de tomate, pulpa de guayaba y mango.</w:t>
      </w: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Camagüey hay serias afectaciones tecnológicas.</w:t>
      </w:r>
    </w:p>
    <w:p w:rsidR="00B14D06"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Cs/>
          <w:lang w:eastAsia="es-ES"/>
        </w:rPr>
        <w:t>En este mes van a tratar de recuperar atrasos.</w:t>
      </w:r>
    </w:p>
    <w:p w:rsidR="00B14D06" w:rsidRDefault="00B14D06" w:rsidP="00B14D06">
      <w:pPr>
        <w:spacing w:after="0" w:line="240" w:lineRule="auto"/>
        <w:jc w:val="both"/>
        <w:rPr>
          <w:rFonts w:ascii="Arial" w:eastAsia="Times New Roman" w:hAnsi="Arial" w:cs="Arial"/>
          <w:b/>
          <w:color w:val="000000"/>
          <w:u w:val="single"/>
          <w:lang w:eastAsia="es-ES"/>
        </w:rPr>
      </w:pPr>
    </w:p>
    <w:p w:rsidR="00B14D06" w:rsidRPr="00D5469C" w:rsidRDefault="00B14D06" w:rsidP="00B14D06">
      <w:pPr>
        <w:spacing w:after="0" w:line="240" w:lineRule="auto"/>
        <w:jc w:val="both"/>
        <w:rPr>
          <w:rFonts w:ascii="Arial" w:eastAsia="Times New Roman" w:hAnsi="Arial" w:cs="Arial"/>
          <w:bCs/>
          <w:lang w:eastAsia="es-ES"/>
        </w:rPr>
      </w:pPr>
      <w:r w:rsidRPr="00D5469C">
        <w:rPr>
          <w:rFonts w:ascii="Arial" w:eastAsia="Times New Roman" w:hAnsi="Arial" w:cs="Arial"/>
          <w:b/>
          <w:color w:val="000000"/>
          <w:u w:val="single"/>
          <w:lang w:eastAsia="es-ES"/>
        </w:rPr>
        <w:t>EMPRESAS LÁCTEAS:</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cumple al 123%, de un   plan   de 383 108.5CUC entregaron 469 422.8 CUC.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79%, Granma 98%, Guantánamo 49% e </w:t>
      </w:r>
      <w:r w:rsidRPr="00D5469C">
        <w:rPr>
          <w:rFonts w:ascii="Arial" w:eastAsia="Times New Roman" w:hAnsi="Arial" w:cs="Arial"/>
          <w:color w:val="000000"/>
          <w:lang w:eastAsia="es-ES"/>
        </w:rPr>
        <w:t>Isla de la Juventud 88%</w:t>
      </w:r>
      <w:r w:rsidRPr="00D5469C">
        <w:rPr>
          <w:rFonts w:ascii="Arial" w:eastAsia="Times New Roman" w:hAnsi="Arial" w:cs="Arial"/>
          <w:lang w:eastAsia="es-ES"/>
        </w:rPr>
        <w:t>.</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1 526 485.9 CUC acumulado hasta abril   se han ejecutado un total de 1 805 713.8 CUC para un 118%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Camagüey 76%, Granma 95%, Guantánamo 51% e </w:t>
      </w:r>
      <w:r w:rsidRPr="00D5469C">
        <w:rPr>
          <w:rFonts w:ascii="Arial" w:eastAsia="Times New Roman" w:hAnsi="Arial" w:cs="Arial"/>
          <w:color w:val="000000"/>
          <w:lang w:eastAsia="es-ES"/>
        </w:rPr>
        <w:t>Isla de la Juventud 58%</w:t>
      </w:r>
      <w:r w:rsidRPr="00D5469C">
        <w:rPr>
          <w:rFonts w:ascii="Arial" w:eastAsia="Times New Roman" w:hAnsi="Arial" w:cs="Arial"/>
          <w:lang w:eastAsia="es-ES"/>
        </w:rPr>
        <w:t>.</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Camagüey presenta roturas en la fábrica de Helado.</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Bayamo la UEB Combinado Lácteo está parado por reparación (helado)</w:t>
      </w:r>
    </w:p>
    <w:p w:rsidR="00B14D06" w:rsidRPr="00D5469C" w:rsidRDefault="00B14D06" w:rsidP="00B14D06">
      <w:pPr>
        <w:numPr>
          <w:ilvl w:val="0"/>
          <w:numId w:val="3"/>
        </w:numPr>
        <w:spacing w:after="0" w:line="240" w:lineRule="auto"/>
        <w:jc w:val="both"/>
        <w:rPr>
          <w:rFonts w:ascii="Arial" w:eastAsia="Times New Roman" w:hAnsi="Arial" w:cs="Arial"/>
          <w:b/>
          <w:color w:val="000000"/>
          <w:lang w:eastAsia="es-ES"/>
        </w:rPr>
      </w:pPr>
      <w:r w:rsidRPr="00D5469C">
        <w:rPr>
          <w:rFonts w:ascii="Arial" w:eastAsia="Times New Roman" w:hAnsi="Arial" w:cs="Arial"/>
          <w:lang w:eastAsia="es-ES"/>
        </w:rPr>
        <w:t>Lácteo Guantánamo incumple por falta de envases de yogurt y de sabores.</w:t>
      </w:r>
    </w:p>
    <w:p w:rsidR="00B14D06" w:rsidRPr="00D5469C" w:rsidRDefault="00B14D06" w:rsidP="00B14D06">
      <w:pPr>
        <w:numPr>
          <w:ilvl w:val="0"/>
          <w:numId w:val="3"/>
        </w:numPr>
        <w:spacing w:after="0" w:line="240" w:lineRule="auto"/>
        <w:jc w:val="both"/>
        <w:rPr>
          <w:rFonts w:ascii="Arial" w:eastAsia="Times New Roman" w:hAnsi="Arial" w:cs="Arial"/>
          <w:color w:val="000000"/>
          <w:lang w:eastAsia="es-ES"/>
        </w:rPr>
      </w:pPr>
      <w:r w:rsidRPr="00D5469C">
        <w:rPr>
          <w:rFonts w:ascii="Arial" w:eastAsia="Times New Roman" w:hAnsi="Arial" w:cs="Arial"/>
          <w:lang w:eastAsia="es-ES"/>
        </w:rPr>
        <w:t>Lácteo La Isla presenta problemas con el cultivo y con los envases de yogurt.</w:t>
      </w:r>
    </w:p>
    <w:p w:rsidR="00B14D06" w:rsidRPr="00D5469C" w:rsidRDefault="00B14D06" w:rsidP="00B14D06">
      <w:pPr>
        <w:spacing w:after="0" w:line="240" w:lineRule="auto"/>
        <w:jc w:val="both"/>
        <w:rPr>
          <w:rFonts w:ascii="Arial" w:eastAsia="Times New Roman" w:hAnsi="Arial" w:cs="Arial"/>
          <w:b/>
          <w:color w:val="000000"/>
          <w:lang w:eastAsia="es-ES"/>
        </w:rPr>
      </w:pPr>
    </w:p>
    <w:p w:rsidR="00B14D06" w:rsidRPr="00D5469C" w:rsidRDefault="00B14D06" w:rsidP="00B14D06">
      <w:pPr>
        <w:spacing w:after="0" w:line="240" w:lineRule="auto"/>
        <w:jc w:val="both"/>
        <w:rPr>
          <w:rFonts w:ascii="Arial" w:eastAsia="Times New Roman" w:hAnsi="Arial" w:cs="Arial"/>
          <w:b/>
          <w:color w:val="000000"/>
          <w:u w:val="single"/>
          <w:lang w:eastAsia="es-ES"/>
        </w:rPr>
      </w:pPr>
      <w:r w:rsidRPr="00D5469C">
        <w:rPr>
          <w:rFonts w:ascii="Arial" w:eastAsia="Times New Roman" w:hAnsi="Arial" w:cs="Arial"/>
          <w:b/>
          <w:color w:val="000000"/>
          <w:u w:val="single"/>
          <w:lang w:eastAsia="es-ES"/>
        </w:rPr>
        <w:t>EMPRESA DE MOLINERIA:</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de un plan 5 437.8 CUC ejecutó 5 304.1 CUC para un 98%.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19 999.0 CUC acumulado hasta abril se han ejecutado un total de 20 803.9 CUC para un 104%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b/>
          <w:u w:val="single"/>
          <w:lang w:eastAsia="es-ES"/>
        </w:rPr>
        <w:t>EMPRESAS DE BEBIDAS</w:t>
      </w:r>
      <w:r w:rsidRPr="00D5469C">
        <w:rPr>
          <w:rFonts w:ascii="Arial" w:eastAsia="Times New Roman" w:hAnsi="Arial" w:cs="Arial"/>
          <w:color w:val="000000"/>
          <w:lang w:eastAsia="es-ES"/>
        </w:rPr>
        <w:t xml:space="preserve">: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w:t>
      </w:r>
      <w:r w:rsidRPr="00D5469C">
        <w:rPr>
          <w:rFonts w:ascii="Arial" w:eastAsia="Times New Roman" w:hAnsi="Arial" w:cs="Arial"/>
          <w:lang w:eastAsia="es-ES"/>
        </w:rPr>
        <w:t>abril</w:t>
      </w:r>
      <w:r w:rsidRPr="00D5469C">
        <w:rPr>
          <w:rFonts w:ascii="Arial" w:eastAsia="Times New Roman" w:hAnsi="Arial" w:cs="Arial"/>
          <w:color w:val="000000"/>
          <w:lang w:eastAsia="es-ES"/>
        </w:rPr>
        <w:t xml:space="preserve"> cumple el plan al 112% de un plan de 1 376 560.2 CUC entregaron 1 548 473.6 CUC.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Matanzas 96%</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5 172 007.5CUC acumulado hasta abril se han ejecutado un total de 5 505 010.3 CUC para un 106%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Provincias incumplidas: </w:t>
      </w: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98% y Matanzas 93%.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Los incumplimientos están dados por el déficit de botellas recuperadas, tapas y los frescos </w:t>
      </w:r>
      <w:proofErr w:type="spellStart"/>
      <w:r w:rsidRPr="00D5469C">
        <w:rPr>
          <w:rFonts w:ascii="Arial" w:eastAsia="Times New Roman" w:hAnsi="Arial" w:cs="Arial"/>
          <w:color w:val="000000"/>
          <w:lang w:eastAsia="es-ES"/>
        </w:rPr>
        <w:t>freskito</w:t>
      </w:r>
      <w:proofErr w:type="spellEnd"/>
      <w:r w:rsidRPr="00D5469C">
        <w:rPr>
          <w:rFonts w:ascii="Arial" w:eastAsia="Times New Roman" w:hAnsi="Arial" w:cs="Arial"/>
          <w:color w:val="000000"/>
          <w:lang w:eastAsia="es-ES"/>
        </w:rPr>
        <w:t xml:space="preserve"> por falta envase. En el caso de La Habana no está incumplida de manera general pero continua la afectación de los refrescos en los formatos 250 y 330 ml debido a rotura en la sopladora, se está sustituyendo por refrescos en vaso </w:t>
      </w:r>
      <w:proofErr w:type="spellStart"/>
      <w:r w:rsidRPr="00D5469C">
        <w:rPr>
          <w:rFonts w:ascii="Arial" w:eastAsia="Times New Roman" w:hAnsi="Arial" w:cs="Arial"/>
          <w:color w:val="000000"/>
          <w:lang w:eastAsia="es-ES"/>
        </w:rPr>
        <w:t>freskito</w:t>
      </w:r>
      <w:proofErr w:type="spellEnd"/>
      <w:r w:rsidRPr="00D5469C">
        <w:rPr>
          <w:rFonts w:ascii="Arial" w:eastAsia="Times New Roman" w:hAnsi="Arial" w:cs="Arial"/>
          <w:color w:val="000000"/>
          <w:lang w:eastAsia="es-ES"/>
        </w:rPr>
        <w:t>.</w:t>
      </w:r>
    </w:p>
    <w:p w:rsidR="00B14D06" w:rsidRDefault="00B14D06" w:rsidP="00B14D06">
      <w:pPr>
        <w:spacing w:after="0" w:line="240" w:lineRule="auto"/>
        <w:rPr>
          <w:rFonts w:eastAsia="Times New Roman"/>
          <w:b/>
          <w:sz w:val="24"/>
          <w:szCs w:val="24"/>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u w:val="single"/>
          <w:lang w:eastAsia="es-ES"/>
        </w:rPr>
        <w:t>EMPRESAS CARNICAS</w:t>
      </w:r>
      <w:r w:rsidRPr="00D5469C">
        <w:rPr>
          <w:rFonts w:ascii="Arial" w:eastAsia="Times New Roman" w:hAnsi="Arial" w:cs="Arial"/>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44 395.9 CUC entregaron 36 382.7 para un cumplimiento del 82%.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54%.</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135 045.4% CUC acumulado hasta abril se han ejecutado un total de 150 229.7 CUC para un 111%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CUBA CAFÉ:</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En el mes de abril de un   plan de 71 234.7 CUC ejecutó 69 362.1 CUC para un cumplimiento del 97%.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 incumplida en el mes: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Las Tunas al 93%,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280 816.1% CUC acumulado hasta abril se han ejecutado un total de 287 367.1 CUC para un 102%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Incumplen las siguientes provincias:</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Tunas 80%.</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La provincia incumple porque la misma hace dejación del producto.</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b/>
          <w:lang w:eastAsia="es-ES"/>
        </w:rPr>
      </w:pPr>
      <w:r w:rsidRPr="00D5469C">
        <w:rPr>
          <w:rFonts w:ascii="Arial" w:eastAsia="Times New Roman" w:hAnsi="Arial" w:cs="Arial"/>
          <w:b/>
          <w:lang w:eastAsia="es-ES"/>
        </w:rPr>
        <w:t>Grupo de AZCUBA</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TECNOAZUCAR:</w:t>
      </w:r>
    </w:p>
    <w:p w:rsidR="00B14D06" w:rsidRPr="00D5469C" w:rsidRDefault="00B14D06" w:rsidP="00B14D06">
      <w:pPr>
        <w:spacing w:after="0" w:line="240" w:lineRule="auto"/>
        <w:jc w:val="both"/>
        <w:rPr>
          <w:rFonts w:ascii="Arial" w:eastAsia="Times New Roman" w:hAnsi="Arial" w:cs="Arial"/>
          <w:b/>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de abril de un plan de 126 596.24 CUC se ejecutaron 115 778.12 CUC para un 91% de cumplimiento.</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mes:</w:t>
      </w:r>
    </w:p>
    <w:p w:rsidR="00B14D06" w:rsidRPr="00D5469C" w:rsidRDefault="00B14D06" w:rsidP="00B14D06">
      <w:pPr>
        <w:tabs>
          <w:tab w:val="left" w:pos="7755"/>
        </w:tabs>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Granma 54%, Santiago de Cuba 39%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Santiago de Cuba no quiere recibir los rones, por tener altos inventarios en lento movimiento, esta situación está desde comienzos del año en curso.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 Granma le devolvieron el ron por tener sedimentos.</w:t>
      </w:r>
    </w:p>
    <w:p w:rsidR="00B14D06" w:rsidRPr="00ED43FE" w:rsidRDefault="00B14D06" w:rsidP="00B14D06">
      <w:pPr>
        <w:spacing w:after="0" w:line="240" w:lineRule="auto"/>
        <w:rPr>
          <w:rFonts w:eastAsia="Times New Roman"/>
          <w:lang w:eastAsia="es-ES"/>
        </w:rPr>
      </w:pPr>
    </w:p>
    <w:p w:rsidR="00B14D06" w:rsidRDefault="00B14D06" w:rsidP="00B14D06">
      <w:pPr>
        <w:spacing w:after="0" w:line="240" w:lineRule="auto"/>
        <w:jc w:val="both"/>
        <w:rPr>
          <w:rFonts w:eastAsia="Times New Roman"/>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Acumulado hasta el mes de abril de un Plan 506 372.9 CUC se ejecutó 441 571 CUC para un 87%.</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Provincias incumplidas en el acumulado: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87%, Granma 92%, Santiago de Cuba 19% y Guantánamo 95%.</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Ciego de Ávila, sigue recuperando sus atrasos ya que a principios de año no tenía contrato firmado para sus entregas.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El proveedor piensa recuperar su atraso entre los meses de mayo y junio.</w:t>
      </w:r>
    </w:p>
    <w:p w:rsidR="00B14D06" w:rsidRPr="00ED43FE" w:rsidRDefault="00B14D06" w:rsidP="00B14D06">
      <w:pPr>
        <w:spacing w:after="0" w:line="240" w:lineRule="auto"/>
        <w:rPr>
          <w:rFonts w:eastAsia="Times New Roman"/>
          <w:lang w:eastAsia="es-ES"/>
        </w:rPr>
      </w:pPr>
    </w:p>
    <w:p w:rsidR="00B14D06" w:rsidRDefault="00B14D06" w:rsidP="00B14D06">
      <w:pPr>
        <w:spacing w:after="0" w:line="240" w:lineRule="auto"/>
        <w:jc w:val="both"/>
        <w:rPr>
          <w:rFonts w:ascii="Arial" w:eastAsia="Times New Roman" w:hAnsi="Arial" w:cs="Arial"/>
          <w:b/>
          <w:u w:val="single"/>
          <w:lang w:eastAsia="es-ES"/>
        </w:rPr>
      </w:pPr>
    </w:p>
    <w:p w:rsidR="00B14D06" w:rsidRPr="00D5469C" w:rsidRDefault="00B14D06" w:rsidP="00B14D06">
      <w:pPr>
        <w:spacing w:after="0" w:line="240" w:lineRule="auto"/>
        <w:jc w:val="both"/>
        <w:rPr>
          <w:rFonts w:ascii="Arial" w:eastAsia="Times New Roman" w:hAnsi="Arial" w:cs="Arial"/>
          <w:u w:val="single"/>
          <w:lang w:eastAsia="es-ES"/>
        </w:rPr>
      </w:pPr>
      <w:r w:rsidRPr="00D5469C">
        <w:rPr>
          <w:rFonts w:ascii="Arial" w:eastAsia="Times New Roman" w:hAnsi="Arial" w:cs="Arial"/>
          <w:b/>
          <w:u w:val="single"/>
          <w:lang w:eastAsia="es-ES"/>
        </w:rPr>
        <w:t xml:space="preserve">ALIMENTARIAS LOCALES Y PANIFICADORA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 EPIA Habana de un plan 24 466.0 CUC ejecutó 23 007.40 para un 94,0 %. </w:t>
      </w: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 que reporta incumplimiento en el mes:</w:t>
      </w:r>
    </w:p>
    <w:p w:rsidR="00B14D06" w:rsidRPr="00D5469C" w:rsidRDefault="00B14D06" w:rsidP="00B14D06">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76,6 %  </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97 864 CUC acumulado hasta abril se han ejecutado un total de 84 913.4 CUC para un 86,8 % de cumplimiento.</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Provincias incumplidas en el acumulado:</w:t>
      </w:r>
    </w:p>
    <w:p w:rsidR="00B14D06" w:rsidRPr="00D5469C" w:rsidRDefault="00B14D06" w:rsidP="00B14D06">
      <w:pPr>
        <w:spacing w:after="0" w:line="240" w:lineRule="auto"/>
        <w:jc w:val="both"/>
        <w:rPr>
          <w:rFonts w:ascii="Arial" w:eastAsia="Times New Roman" w:hAnsi="Arial" w:cs="Arial"/>
          <w:color w:val="000000"/>
          <w:lang w:eastAsia="es-ES"/>
        </w:rPr>
      </w:pPr>
      <w:proofErr w:type="spellStart"/>
      <w:r w:rsidRPr="00D5469C">
        <w:rPr>
          <w:rFonts w:ascii="Arial" w:eastAsia="Times New Roman" w:hAnsi="Arial" w:cs="Arial"/>
          <w:color w:val="000000"/>
          <w:lang w:eastAsia="es-ES"/>
        </w:rPr>
        <w:t>Mayabeque</w:t>
      </w:r>
      <w:proofErr w:type="spellEnd"/>
      <w:r w:rsidRPr="00D5469C">
        <w:rPr>
          <w:rFonts w:ascii="Arial" w:eastAsia="Times New Roman" w:hAnsi="Arial" w:cs="Arial"/>
          <w:color w:val="000000"/>
          <w:lang w:eastAsia="es-ES"/>
        </w:rPr>
        <w:t xml:space="preserve"> 56 %  </w:t>
      </w:r>
    </w:p>
    <w:p w:rsidR="00B14D06" w:rsidRPr="00D5469C" w:rsidRDefault="00B14D06" w:rsidP="00B14D06">
      <w:pPr>
        <w:spacing w:after="0" w:line="240" w:lineRule="auto"/>
        <w:jc w:val="both"/>
        <w:rPr>
          <w:rFonts w:ascii="Arial" w:eastAsia="Times New Roman" w:hAnsi="Arial" w:cs="Arial"/>
          <w:color w:val="000000"/>
          <w:lang w:eastAsia="es-ES"/>
        </w:rPr>
      </w:pPr>
    </w:p>
    <w:p w:rsidR="00B14D06" w:rsidRPr="00D5469C" w:rsidRDefault="00B14D06" w:rsidP="00B14D06">
      <w:pPr>
        <w:numPr>
          <w:ilvl w:val="0"/>
          <w:numId w:val="4"/>
        </w:numPr>
        <w:spacing w:after="0" w:line="240" w:lineRule="auto"/>
        <w:ind w:left="360"/>
        <w:jc w:val="both"/>
        <w:rPr>
          <w:rFonts w:ascii="Arial" w:eastAsia="Times New Roman" w:hAnsi="Arial" w:cs="Arial"/>
          <w:lang w:eastAsia="es-ES"/>
        </w:rPr>
      </w:pPr>
      <w:r w:rsidRPr="00D5469C">
        <w:rPr>
          <w:rFonts w:ascii="Arial" w:eastAsia="Times New Roman" w:hAnsi="Arial" w:cs="Arial"/>
          <w:lang w:eastAsia="es-ES"/>
        </w:rPr>
        <w:t>El incumplimiento fue dado por problemas de transportación.</w:t>
      </w:r>
    </w:p>
    <w:p w:rsidR="00B14D06" w:rsidRPr="00D5469C" w:rsidRDefault="00B14D06" w:rsidP="00B14D06">
      <w:pPr>
        <w:spacing w:after="0" w:line="240" w:lineRule="auto"/>
        <w:jc w:val="both"/>
        <w:rPr>
          <w:rFonts w:ascii="Arial" w:eastAsia="Times New Roman" w:hAnsi="Arial" w:cs="Arial"/>
          <w:b/>
          <w:color w:val="FF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mes de abril las Alimentarias locales de un plan de 502 623,00 CUC se ejecutaron 490 918,25 CUC para el 97,7 % de cumplimiento. </w:t>
      </w: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Default="00B14D06" w:rsidP="00B14D06">
      <w:pPr>
        <w:spacing w:after="0" w:line="360" w:lineRule="auto"/>
        <w:jc w:val="both"/>
        <w:rPr>
          <w:rFonts w:ascii="Arial" w:eastAsia="Times New Roman" w:hAnsi="Arial" w:cs="Arial"/>
          <w:color w:val="000000"/>
          <w:lang w:eastAsia="es-ES"/>
        </w:rPr>
      </w:pP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Incumplen las siguientes provincias en el mes:</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Villa Clara 93%, Las Tunas 27% e Isla de la Juventud 12% </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En el caso de La Habana la industria la Alimentaria de Matanzas no garantiza las entregas. </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De un plan de 2 025 940 CUC acumulado hasta el mes de abril se ejecutó 1 699 096,3 CUC para un 84%.</w:t>
      </w:r>
    </w:p>
    <w:p w:rsidR="00B14D06" w:rsidRPr="00D5469C" w:rsidRDefault="00B14D06" w:rsidP="00B14D06">
      <w:pPr>
        <w:spacing w:after="0" w:line="360" w:lineRule="auto"/>
        <w:jc w:val="both"/>
        <w:rPr>
          <w:rFonts w:ascii="Arial" w:eastAsia="Times New Roman" w:hAnsi="Arial" w:cs="Arial"/>
          <w:color w:val="000000"/>
          <w:lang w:eastAsia="es-ES"/>
        </w:rPr>
      </w:pPr>
      <w:r w:rsidRPr="00D5469C">
        <w:rPr>
          <w:rFonts w:ascii="Arial" w:eastAsia="Times New Roman" w:hAnsi="Arial" w:cs="Arial"/>
          <w:color w:val="000000"/>
          <w:lang w:eastAsia="es-ES"/>
        </w:rPr>
        <w:t>Las provincias que están incumplidas son por las causas que se relacionan, falta de materia prima e insumos, rotura del equipamiento tecnológico y falta de combustible para los tiros directos.</w:t>
      </w:r>
    </w:p>
    <w:p w:rsidR="00B14D06" w:rsidRDefault="00B14D06" w:rsidP="00B14D06">
      <w:pPr>
        <w:spacing w:after="0" w:line="360" w:lineRule="auto"/>
        <w:ind w:left="450"/>
        <w:jc w:val="both"/>
        <w:rPr>
          <w:rFonts w:ascii="Arial" w:eastAsia="Times New Roman" w:hAnsi="Arial" w:cs="Arial"/>
          <w:color w:val="000000"/>
          <w:lang w:eastAsia="es-ES"/>
        </w:rPr>
      </w:pP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Villa Clara 93%. No le cumple con el financiamiento contratado para el mes, la provincia lo está demandando por estos incumplimientos.</w:t>
      </w: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 xml:space="preserve">Las Tunas, 47% Incumplen porque tuvieron falta de materias primas (harina de trigo) y lo que están recibiendo es el huevo deshidratado el cual no se puede usar para la repostería. </w:t>
      </w:r>
    </w:p>
    <w:p w:rsidR="00B14D06" w:rsidRPr="00D5469C" w:rsidRDefault="00B14D06" w:rsidP="00B14D06">
      <w:pPr>
        <w:numPr>
          <w:ilvl w:val="0"/>
          <w:numId w:val="5"/>
        </w:numPr>
        <w:spacing w:after="0" w:line="360" w:lineRule="auto"/>
        <w:ind w:left="450"/>
        <w:jc w:val="both"/>
        <w:rPr>
          <w:rFonts w:ascii="Arial" w:eastAsia="Times New Roman" w:hAnsi="Arial" w:cs="Arial"/>
          <w:color w:val="000000"/>
          <w:lang w:eastAsia="es-ES"/>
        </w:rPr>
      </w:pPr>
      <w:r w:rsidRPr="00D5469C">
        <w:rPr>
          <w:rFonts w:ascii="Arial" w:eastAsia="Times New Roman" w:hAnsi="Arial" w:cs="Arial"/>
          <w:color w:val="000000"/>
          <w:lang w:eastAsia="es-ES"/>
        </w:rPr>
        <w:t>Isla de la Juventud, 20% Incumplen por la falta de materia prima (</w:t>
      </w:r>
      <w:proofErr w:type="spellStart"/>
      <w:r w:rsidRPr="00D5469C">
        <w:rPr>
          <w:rFonts w:ascii="Arial" w:eastAsia="Times New Roman" w:hAnsi="Arial" w:cs="Arial"/>
          <w:color w:val="000000"/>
          <w:lang w:eastAsia="es-ES"/>
        </w:rPr>
        <w:t>nylón</w:t>
      </w:r>
      <w:proofErr w:type="spellEnd"/>
      <w:r w:rsidRPr="00D5469C">
        <w:rPr>
          <w:rFonts w:ascii="Arial" w:eastAsia="Times New Roman" w:hAnsi="Arial" w:cs="Arial"/>
          <w:color w:val="000000"/>
          <w:lang w:eastAsia="es-ES"/>
        </w:rPr>
        <w:t>) para envasar las galletas de sal</w:t>
      </w:r>
    </w:p>
    <w:p w:rsidR="00B14D06" w:rsidRPr="00D5469C" w:rsidRDefault="00B14D06" w:rsidP="00B14D06">
      <w:pPr>
        <w:spacing w:after="0" w:line="360" w:lineRule="auto"/>
        <w:ind w:left="720"/>
        <w:jc w:val="both"/>
        <w:rPr>
          <w:rFonts w:ascii="Arial" w:eastAsia="Times New Roman" w:hAnsi="Arial" w:cs="Arial"/>
          <w:color w:val="000000"/>
          <w:lang w:eastAsia="es-ES"/>
        </w:rPr>
      </w:pPr>
    </w:p>
    <w:p w:rsidR="00B14D06" w:rsidRPr="00D5469C" w:rsidRDefault="00B14D06" w:rsidP="00B14D06">
      <w:pPr>
        <w:spacing w:after="0" w:line="240" w:lineRule="auto"/>
        <w:jc w:val="both"/>
        <w:rPr>
          <w:rFonts w:ascii="Arial" w:eastAsia="Times New Roman" w:hAnsi="Arial" w:cs="Arial"/>
          <w:b/>
          <w:u w:val="single"/>
          <w:lang w:eastAsia="es-ES"/>
        </w:rPr>
      </w:pPr>
      <w:r w:rsidRPr="00D5469C">
        <w:rPr>
          <w:rFonts w:ascii="Arial" w:eastAsia="Times New Roman" w:hAnsi="Arial" w:cs="Arial"/>
          <w:b/>
          <w:u w:val="single"/>
          <w:lang w:eastAsia="es-ES"/>
        </w:rPr>
        <w:t>PRODAL:</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En el mes abril de un plan de 105 175.7 no se ejecutaron por avería en la industria</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color w:val="000000"/>
          <w:lang w:eastAsia="es-ES"/>
        </w:rPr>
        <w:t>De un plan de 420 615.4 acumulado hasta el mes de abril se ejecutó 47716 CUC para un 11 %.</w:t>
      </w:r>
      <w:r>
        <w:rPr>
          <w:rFonts w:ascii="Arial" w:eastAsia="Times New Roman" w:hAnsi="Arial" w:cs="Arial"/>
          <w:color w:val="000000"/>
          <w:lang w:eastAsia="es-ES"/>
        </w:rPr>
        <w:t xml:space="preserve"> </w:t>
      </w:r>
      <w:r w:rsidRPr="00D5469C">
        <w:rPr>
          <w:rFonts w:ascii="Arial" w:eastAsia="Times New Roman" w:hAnsi="Arial" w:cs="Arial"/>
          <w:color w:val="000000"/>
          <w:lang w:eastAsia="es-ES"/>
        </w:rPr>
        <w:t>El proveedor plantea que presentan problemas con roturas en la industria y su capacidad productiva está limitada a las tiendas en divisa.</w:t>
      </w:r>
    </w:p>
    <w:p w:rsidR="00B14D06" w:rsidRDefault="00B14D06" w:rsidP="00B14D06">
      <w:pPr>
        <w:spacing w:after="0" w:line="240" w:lineRule="auto"/>
        <w:jc w:val="both"/>
        <w:rPr>
          <w:rFonts w:ascii="Arial" w:eastAsia="Times New Roman" w:hAnsi="Arial" w:cs="Arial"/>
          <w:lang w:eastAsia="es-ES"/>
        </w:rPr>
      </w:pP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Ver Anexo 1</w:t>
      </w:r>
    </w:p>
    <w:p w:rsidR="00B14D06" w:rsidRPr="00D5469C" w:rsidRDefault="00B14D06" w:rsidP="00B14D06">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B14D06" w:rsidRDefault="00B14D06" w:rsidP="00B14D06">
      <w:pPr>
        <w:pStyle w:val="ListParagraph"/>
        <w:spacing w:before="144" w:after="144"/>
        <w:ind w:left="0"/>
        <w:jc w:val="both"/>
        <w:rPr>
          <w:rFonts w:eastAsia="Calibri"/>
          <w:b/>
          <w:bCs/>
          <w:lang w:val="es-MX"/>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2.2. Logrado al menos el 90% de la presencia de los productos en el mercado liberado.</w:t>
      </w:r>
    </w:p>
    <w:p w:rsidR="00B14D06" w:rsidRPr="00D5469C" w:rsidRDefault="00B14D06" w:rsidP="00B14D06">
      <w:pPr>
        <w:pStyle w:val="Sinespaciado1"/>
        <w:jc w:val="both"/>
        <w:rPr>
          <w:rFonts w:ascii="Arial" w:hAnsi="Arial" w:cs="Arial"/>
        </w:rPr>
      </w:pPr>
      <w:r w:rsidRPr="00D5469C">
        <w:rPr>
          <w:rFonts w:ascii="Arial" w:hAnsi="Arial" w:cs="Arial"/>
        </w:rPr>
        <w:t xml:space="preserve">Las ventas liberadas del mes de enero se comportaron: </w:t>
      </w:r>
    </w:p>
    <w:p w:rsidR="00B14D06" w:rsidRPr="00D5469C" w:rsidRDefault="00B14D06" w:rsidP="00B14D06">
      <w:pPr>
        <w:pStyle w:val="Sinespaciado1"/>
        <w:jc w:val="both"/>
        <w:rPr>
          <w:rFonts w:ascii="Arial" w:hAnsi="Arial" w:cs="Arial"/>
        </w:rPr>
      </w:pP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 xml:space="preserve">Arroz las entregas del mes se comportaron al 117%. </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Chícharos las entregas se cumplieron al 84%.</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Las Azucares, la Sal Gruesa y la Harina de Trigo por existencias de inventarios en la red y poca demanda de la población.</w:t>
      </w:r>
    </w:p>
    <w:p w:rsidR="00B14D06" w:rsidRPr="00D5469C" w:rsidRDefault="00B14D06" w:rsidP="00B14D06">
      <w:pPr>
        <w:pStyle w:val="Sinespaciado1"/>
        <w:numPr>
          <w:ilvl w:val="0"/>
          <w:numId w:val="12"/>
        </w:numPr>
        <w:jc w:val="both"/>
        <w:rPr>
          <w:rFonts w:ascii="Arial" w:hAnsi="Arial" w:cs="Arial"/>
        </w:rPr>
      </w:pPr>
      <w:r w:rsidRPr="00D5469C">
        <w:rPr>
          <w:rFonts w:ascii="Arial" w:hAnsi="Arial" w:cs="Arial"/>
        </w:rPr>
        <w:t xml:space="preserve">La Sal Fina las entregas se cumplieron al 73%. </w:t>
      </w:r>
    </w:p>
    <w:p w:rsidR="00B14D06" w:rsidRPr="00D5469C" w:rsidRDefault="00B14D06" w:rsidP="00B14D06">
      <w:pPr>
        <w:pStyle w:val="Sinespaciado1"/>
        <w:jc w:val="both"/>
        <w:rPr>
          <w:rFonts w:ascii="Arial" w:hAnsi="Arial" w:cs="Arial"/>
        </w:rPr>
      </w:pPr>
    </w:p>
    <w:p w:rsidR="00B14D06" w:rsidRPr="00D5469C" w:rsidRDefault="00B14D06" w:rsidP="00B14D06">
      <w:pPr>
        <w:jc w:val="both"/>
        <w:rPr>
          <w:rFonts w:ascii="Arial" w:hAnsi="Arial" w:cs="Arial"/>
        </w:rPr>
      </w:pPr>
      <w:r w:rsidRPr="00D5469C">
        <w:rPr>
          <w:rFonts w:ascii="Arial" w:hAnsi="Arial" w:cs="Arial"/>
        </w:rPr>
        <w:t>Se chequeó la no presencia al 100% de las provincias.</w:t>
      </w:r>
    </w:p>
    <w:p w:rsidR="00B14D06" w:rsidRPr="00D5469C" w:rsidRDefault="00B14D06" w:rsidP="00B14D06">
      <w:pPr>
        <w:jc w:val="both"/>
        <w:rPr>
          <w:rFonts w:ascii="Arial" w:hAnsi="Arial" w:cs="Arial"/>
        </w:rPr>
      </w:pPr>
      <w:r w:rsidRPr="00D5469C">
        <w:rPr>
          <w:rFonts w:ascii="Arial" w:hAnsi="Arial" w:cs="Arial"/>
        </w:rPr>
        <w:t>Los productos:</w:t>
      </w:r>
      <w:r w:rsidRPr="00D5469C">
        <w:rPr>
          <w:rFonts w:ascii="Arial" w:hAnsi="Arial" w:cs="Arial"/>
          <w:b/>
        </w:rPr>
        <w:t xml:space="preserve"> Puré de tomate, otras conservas de tomate, pastas alimenticias, fideos, </w:t>
      </w:r>
      <w:r w:rsidRPr="00D5469C">
        <w:rPr>
          <w:rFonts w:ascii="Arial" w:hAnsi="Arial" w:cs="Arial"/>
        </w:rPr>
        <w:t>continúan con índices elevados de no presencia.</w:t>
      </w:r>
    </w:p>
    <w:p w:rsidR="00B14D06" w:rsidRPr="00D5469C" w:rsidRDefault="00B14D06" w:rsidP="00B14D06">
      <w:pPr>
        <w:jc w:val="both"/>
        <w:rPr>
          <w:rFonts w:ascii="Arial" w:hAnsi="Arial" w:cs="Arial"/>
        </w:rPr>
      </w:pPr>
      <w:r w:rsidRPr="00D5469C">
        <w:rPr>
          <w:rFonts w:ascii="Arial" w:hAnsi="Arial" w:cs="Arial"/>
          <w:b/>
          <w:u w:val="single"/>
        </w:rPr>
        <w:t>Arroz:</w:t>
      </w:r>
      <w:r w:rsidRPr="00D5469C">
        <w:rPr>
          <w:rFonts w:ascii="Arial" w:hAnsi="Arial" w:cs="Arial"/>
        </w:rPr>
        <w:t xml:space="preserve"> Tuvo afectaciones de no presencia en Pinar del Rio (42%), Matanzas (16%), Sancti </w:t>
      </w:r>
      <w:proofErr w:type="spellStart"/>
      <w:r w:rsidRPr="00D5469C">
        <w:rPr>
          <w:rFonts w:ascii="Arial" w:hAnsi="Arial" w:cs="Arial"/>
        </w:rPr>
        <w:t>Spiritus</w:t>
      </w:r>
      <w:proofErr w:type="spellEnd"/>
      <w:r w:rsidRPr="00D5469C">
        <w:rPr>
          <w:rFonts w:ascii="Arial" w:hAnsi="Arial" w:cs="Arial"/>
        </w:rPr>
        <w:t xml:space="preserve"> (40%), Ciego de Ávila (91%).</w:t>
      </w:r>
    </w:p>
    <w:p w:rsidR="00B14D06" w:rsidRPr="00D5469C" w:rsidRDefault="00B14D06" w:rsidP="00B14D06">
      <w:pPr>
        <w:jc w:val="both"/>
        <w:rPr>
          <w:rFonts w:ascii="Arial" w:hAnsi="Arial" w:cs="Arial"/>
        </w:rPr>
      </w:pPr>
      <w:r w:rsidRPr="00D5469C">
        <w:rPr>
          <w:rFonts w:ascii="Arial" w:hAnsi="Arial" w:cs="Arial"/>
          <w:b/>
          <w:u w:val="single"/>
        </w:rPr>
        <w:t>Frijol:</w:t>
      </w:r>
      <w:r w:rsidRPr="00D5469C">
        <w:rPr>
          <w:rFonts w:ascii="Arial" w:hAnsi="Arial" w:cs="Arial"/>
          <w:b/>
        </w:rPr>
        <w:t xml:space="preserve"> </w:t>
      </w:r>
      <w:r w:rsidRPr="00D5469C">
        <w:rPr>
          <w:rFonts w:ascii="Arial" w:hAnsi="Arial" w:cs="Arial"/>
        </w:rPr>
        <w:t xml:space="preserve">Tuvo afectaciones de presencia en Sancti </w:t>
      </w:r>
      <w:proofErr w:type="spellStart"/>
      <w:r w:rsidRPr="00D5469C">
        <w:rPr>
          <w:rFonts w:ascii="Arial" w:hAnsi="Arial" w:cs="Arial"/>
        </w:rPr>
        <w:t>Spiritus</w:t>
      </w:r>
      <w:proofErr w:type="spellEnd"/>
      <w:r w:rsidRPr="00D5469C">
        <w:rPr>
          <w:rFonts w:ascii="Arial" w:hAnsi="Arial" w:cs="Arial"/>
        </w:rPr>
        <w:t xml:space="preserve"> (20%), existiendo inventarios mayoristas.</w:t>
      </w:r>
    </w:p>
    <w:p w:rsidR="00B14D06" w:rsidRPr="00D5469C" w:rsidRDefault="00B14D06" w:rsidP="00B14D06">
      <w:pPr>
        <w:jc w:val="both"/>
        <w:rPr>
          <w:rFonts w:ascii="Arial" w:hAnsi="Arial" w:cs="Arial"/>
        </w:rPr>
      </w:pPr>
      <w:r w:rsidRPr="00D5469C">
        <w:rPr>
          <w:rFonts w:ascii="Arial" w:hAnsi="Arial" w:cs="Arial"/>
          <w:b/>
          <w:u w:val="single"/>
        </w:rPr>
        <w:t>Chícharo:</w:t>
      </w:r>
      <w:r w:rsidRPr="00D5469C">
        <w:rPr>
          <w:rFonts w:ascii="Arial" w:hAnsi="Arial" w:cs="Arial"/>
        </w:rPr>
        <w:t xml:space="preserve"> Artemisa (40%), </w:t>
      </w:r>
      <w:proofErr w:type="spellStart"/>
      <w:r w:rsidRPr="00D5469C">
        <w:rPr>
          <w:rFonts w:ascii="Arial" w:hAnsi="Arial" w:cs="Arial"/>
        </w:rPr>
        <w:t>Mayabeque</w:t>
      </w:r>
      <w:proofErr w:type="spellEnd"/>
      <w:r w:rsidRPr="00D5469C">
        <w:rPr>
          <w:rFonts w:ascii="Arial" w:hAnsi="Arial" w:cs="Arial"/>
        </w:rPr>
        <w:t xml:space="preserve"> (67%), Matanzas (11%), Sancti </w:t>
      </w:r>
      <w:proofErr w:type="spellStart"/>
      <w:r w:rsidRPr="00D5469C">
        <w:rPr>
          <w:rFonts w:ascii="Arial" w:hAnsi="Arial" w:cs="Arial"/>
        </w:rPr>
        <w:t>Spiritus</w:t>
      </w:r>
      <w:proofErr w:type="spellEnd"/>
      <w:r w:rsidRPr="00D5469C">
        <w:rPr>
          <w:rFonts w:ascii="Arial" w:hAnsi="Arial" w:cs="Arial"/>
        </w:rPr>
        <w:t xml:space="preserve"> (20%), Las Tunas (12%), Holguín (24%) y Santiago de Cuba (21), existiendo inventarios mayoristas.</w:t>
      </w:r>
    </w:p>
    <w:p w:rsidR="00B14D06" w:rsidRPr="00D5469C" w:rsidRDefault="00B14D06" w:rsidP="00B14D06">
      <w:pPr>
        <w:jc w:val="both"/>
        <w:rPr>
          <w:rFonts w:ascii="Arial" w:hAnsi="Arial" w:cs="Arial"/>
        </w:rPr>
      </w:pPr>
      <w:r w:rsidRPr="00D5469C">
        <w:rPr>
          <w:rFonts w:ascii="Arial" w:hAnsi="Arial" w:cs="Arial"/>
          <w:b/>
          <w:u w:val="single"/>
        </w:rPr>
        <w:t>Harina de Trigo:</w:t>
      </w:r>
      <w:r w:rsidRPr="00D5469C">
        <w:rPr>
          <w:rFonts w:ascii="Arial" w:hAnsi="Arial" w:cs="Arial"/>
        </w:rPr>
        <w:t xml:space="preserve"> Tuvo afectaciones en Artemisa (30%), </w:t>
      </w:r>
      <w:proofErr w:type="spellStart"/>
      <w:r w:rsidRPr="00D5469C">
        <w:rPr>
          <w:rFonts w:ascii="Arial" w:hAnsi="Arial" w:cs="Arial"/>
        </w:rPr>
        <w:t>Mayabeque</w:t>
      </w:r>
      <w:proofErr w:type="spellEnd"/>
      <w:r w:rsidRPr="00D5469C">
        <w:rPr>
          <w:rFonts w:ascii="Arial" w:hAnsi="Arial" w:cs="Arial"/>
        </w:rPr>
        <w:t xml:space="preserve"> (100%), La Habana (22%), Matanzas (68%), Villa Clara (89%), Cienfuegos (27%), Sancti </w:t>
      </w:r>
      <w:proofErr w:type="spellStart"/>
      <w:r w:rsidRPr="00D5469C">
        <w:rPr>
          <w:rFonts w:ascii="Arial" w:hAnsi="Arial" w:cs="Arial"/>
        </w:rPr>
        <w:t>Spiritus</w:t>
      </w:r>
      <w:proofErr w:type="spellEnd"/>
      <w:r w:rsidRPr="00D5469C">
        <w:rPr>
          <w:rFonts w:ascii="Arial" w:hAnsi="Arial" w:cs="Arial"/>
        </w:rPr>
        <w:t xml:space="preserve"> (20%), Camagüey (51%), Las Tunas (18%), Holguín (38), Granma (53%), Santiago de Cuba (21%) y Guantánamo (14%).</w:t>
      </w:r>
    </w:p>
    <w:p w:rsidR="00B14D06" w:rsidRPr="00D5469C" w:rsidRDefault="00B14D06" w:rsidP="00B14D06">
      <w:pPr>
        <w:jc w:val="both"/>
        <w:rPr>
          <w:rFonts w:ascii="Arial" w:hAnsi="Arial" w:cs="Arial"/>
        </w:rPr>
      </w:pPr>
      <w:r w:rsidRPr="00D5469C">
        <w:rPr>
          <w:rFonts w:ascii="Arial" w:hAnsi="Arial" w:cs="Arial"/>
          <w:b/>
          <w:u w:val="single"/>
        </w:rPr>
        <w:t>Sal</w:t>
      </w:r>
      <w:r w:rsidRPr="00D5469C">
        <w:rPr>
          <w:rFonts w:ascii="Arial" w:hAnsi="Arial" w:cs="Arial"/>
          <w:u w:val="single"/>
        </w:rPr>
        <w:t>:</w:t>
      </w:r>
      <w:r w:rsidRPr="00D5469C">
        <w:rPr>
          <w:rFonts w:ascii="Arial" w:hAnsi="Arial" w:cs="Arial"/>
        </w:rPr>
        <w:t xml:space="preserve"> Pinar del Rio (33%), Artemisa (50%), </w:t>
      </w:r>
      <w:proofErr w:type="spellStart"/>
      <w:r w:rsidRPr="00D5469C">
        <w:rPr>
          <w:rFonts w:ascii="Arial" w:hAnsi="Arial" w:cs="Arial"/>
        </w:rPr>
        <w:t>Mayabeque</w:t>
      </w:r>
      <w:proofErr w:type="spellEnd"/>
      <w:r w:rsidRPr="00D5469C">
        <w:rPr>
          <w:rFonts w:ascii="Arial" w:hAnsi="Arial" w:cs="Arial"/>
        </w:rPr>
        <w:t xml:space="preserve"> (83%), Matanzas (32%), Cienfuegos (55%), Sancti </w:t>
      </w:r>
      <w:proofErr w:type="spellStart"/>
      <w:r w:rsidRPr="00D5469C">
        <w:rPr>
          <w:rFonts w:ascii="Arial" w:hAnsi="Arial" w:cs="Arial"/>
        </w:rPr>
        <w:t>Spiritus</w:t>
      </w:r>
      <w:proofErr w:type="spellEnd"/>
      <w:r w:rsidRPr="00D5469C">
        <w:rPr>
          <w:rFonts w:ascii="Arial" w:hAnsi="Arial" w:cs="Arial"/>
        </w:rPr>
        <w:t xml:space="preserve"> (80%), Holguín (38%) Granma (16%) y Santiago de Cuba (29%). </w:t>
      </w:r>
    </w:p>
    <w:p w:rsidR="00B14D06" w:rsidRPr="00D5469C" w:rsidRDefault="00B14D06" w:rsidP="00B14D06">
      <w:pPr>
        <w:jc w:val="both"/>
        <w:rPr>
          <w:rFonts w:ascii="Arial" w:hAnsi="Arial" w:cs="Arial"/>
        </w:rPr>
      </w:pPr>
      <w:r w:rsidRPr="00D5469C">
        <w:rPr>
          <w:rFonts w:ascii="Arial" w:hAnsi="Arial" w:cs="Arial"/>
          <w:b/>
          <w:u w:val="single"/>
        </w:rPr>
        <w:t>Fósforos:</w:t>
      </w:r>
      <w:r w:rsidRPr="00D5469C">
        <w:rPr>
          <w:rFonts w:ascii="Arial" w:hAnsi="Arial" w:cs="Arial"/>
        </w:rPr>
        <w:t xml:space="preserve"> Pinar del Rio (11%), Artemisa (20%), La Habana (33%), Matanzas (42%), Sancti </w:t>
      </w:r>
      <w:proofErr w:type="spellStart"/>
      <w:r w:rsidRPr="00D5469C">
        <w:rPr>
          <w:rFonts w:ascii="Arial" w:hAnsi="Arial" w:cs="Arial"/>
        </w:rPr>
        <w:t>Spiritus</w:t>
      </w:r>
      <w:proofErr w:type="spellEnd"/>
      <w:r w:rsidRPr="00D5469C">
        <w:rPr>
          <w:rFonts w:ascii="Arial" w:hAnsi="Arial" w:cs="Arial"/>
        </w:rPr>
        <w:t xml:space="preserve"> (40%), Ciego de Ávila (45%), Holguín (45%), Granma (16%) Santiago de Cuba (11%).</w:t>
      </w:r>
    </w:p>
    <w:p w:rsidR="00B14D06" w:rsidRPr="00D5469C" w:rsidRDefault="00B14D06" w:rsidP="00B14D06">
      <w:pPr>
        <w:jc w:val="both"/>
        <w:rPr>
          <w:rFonts w:ascii="Arial" w:hAnsi="Arial" w:cs="Arial"/>
          <w:color w:val="FF0000"/>
        </w:rPr>
      </w:pPr>
    </w:p>
    <w:p w:rsidR="00B14D06" w:rsidRPr="00D5469C" w:rsidRDefault="00B14D06" w:rsidP="00B14D06">
      <w:pPr>
        <w:spacing w:after="0" w:line="240" w:lineRule="auto"/>
        <w:jc w:val="both"/>
        <w:rPr>
          <w:rFonts w:ascii="Arial" w:eastAsia="Calibri" w:hAnsi="Arial" w:cs="Arial"/>
          <w:b/>
          <w:bCs/>
        </w:rPr>
      </w:pPr>
      <w:r w:rsidRPr="00D5469C">
        <w:rPr>
          <w:rFonts w:ascii="Arial" w:eastAsia="Calibri" w:hAnsi="Arial" w:cs="Arial"/>
          <w:b/>
          <w:bCs/>
        </w:rPr>
        <w:lastRenderedPageBreak/>
        <w:t>Criterios de Medidas: Aceptable</w:t>
      </w:r>
    </w:p>
    <w:p w:rsidR="00B14D06" w:rsidRDefault="00B14D06" w:rsidP="00B14D06">
      <w:pPr>
        <w:pStyle w:val="ListParagraph"/>
        <w:spacing w:before="144" w:after="144"/>
        <w:ind w:left="0"/>
        <w:rPr>
          <w:b/>
        </w:rPr>
      </w:pPr>
    </w:p>
    <w:p w:rsidR="00B14D06" w:rsidRDefault="00B14D06" w:rsidP="00B14D06">
      <w:pPr>
        <w:pStyle w:val="ListParagraph"/>
        <w:spacing w:before="144" w:after="144"/>
        <w:ind w:left="0"/>
        <w:jc w:val="both"/>
        <w:rPr>
          <w:rFonts w:ascii="Arial" w:hAnsi="Arial" w:cs="Arial"/>
          <w:b/>
          <w:sz w:val="22"/>
          <w:szCs w:val="22"/>
        </w:rPr>
      </w:pPr>
    </w:p>
    <w:p w:rsidR="00B14D06" w:rsidRDefault="00B14D06" w:rsidP="00B14D06">
      <w:pPr>
        <w:pStyle w:val="ListParagraph"/>
        <w:spacing w:before="144" w:after="144"/>
        <w:ind w:left="0"/>
        <w:jc w:val="both"/>
        <w:rPr>
          <w:rFonts w:ascii="Arial" w:hAnsi="Arial" w:cs="Arial"/>
          <w:b/>
          <w:sz w:val="22"/>
          <w:szCs w:val="22"/>
        </w:rPr>
      </w:pP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2.3 Garantizado el 92% de la satisfacc</w:t>
      </w:r>
      <w:bookmarkStart w:id="4" w:name="_GoBack"/>
      <w:bookmarkEnd w:id="4"/>
      <w:r w:rsidRPr="00D5469C">
        <w:rPr>
          <w:rFonts w:ascii="Arial" w:hAnsi="Arial" w:cs="Arial"/>
          <w:b/>
          <w:sz w:val="22"/>
          <w:szCs w:val="22"/>
        </w:rPr>
        <w:t>ión de los clientes del consumo social.</w:t>
      </w: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Las entregas a la Gastronomía, se cumplen según las cifras </w:t>
      </w:r>
      <w:proofErr w:type="spellStart"/>
      <w:r w:rsidRPr="00D5469C">
        <w:rPr>
          <w:rFonts w:ascii="Arial" w:eastAsia="Calibri" w:hAnsi="Arial" w:cs="Arial"/>
          <w:bCs/>
          <w:color w:val="0D0D0D"/>
          <w:lang w:val="es-ES_tradnl" w:eastAsia="es-ES"/>
        </w:rPr>
        <w:t>aperturadas</w:t>
      </w:r>
      <w:proofErr w:type="spellEnd"/>
      <w:r w:rsidRPr="00D5469C">
        <w:rPr>
          <w:rFonts w:ascii="Arial" w:eastAsia="Calibri" w:hAnsi="Arial" w:cs="Arial"/>
          <w:bCs/>
          <w:color w:val="0D0D0D"/>
          <w:lang w:val="es-ES_tradnl" w:eastAsia="es-ES"/>
        </w:rPr>
        <w:t xml:space="preserve"> entre las Empresas Mayoristas y los Grupos Empresariales, así como las entrega a las cooperativas no agropecuarias en los productos arroz, granos, azucares, harina de trigo y aceite.</w:t>
      </w:r>
    </w:p>
    <w:p w:rsidR="00B14D06" w:rsidRPr="00D5469C" w:rsidRDefault="00B14D06" w:rsidP="00B14D06">
      <w:pPr>
        <w:spacing w:after="0" w:line="240" w:lineRule="auto"/>
        <w:jc w:val="both"/>
        <w:rPr>
          <w:rFonts w:ascii="Arial" w:eastAsia="Calibri" w:hAnsi="Arial" w:cs="Arial"/>
          <w:bCs/>
          <w:color w:val="0D0D0D"/>
          <w:lang w:val="es-ES_tradnl" w:eastAsia="es-ES"/>
        </w:rPr>
      </w:pP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Los productos con incumplimientos por parte de los suministradores son:</w:t>
      </w:r>
    </w:p>
    <w:p w:rsidR="00B14D06" w:rsidRPr="00D5469C" w:rsidRDefault="00B14D06" w:rsidP="00B14D06">
      <w:pPr>
        <w:numPr>
          <w:ilvl w:val="0"/>
          <w:numId w:val="6"/>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Harina de Maíz</w:t>
      </w:r>
      <w:r w:rsidRPr="00D5469C">
        <w:rPr>
          <w:rFonts w:ascii="Arial" w:eastAsia="Times New Roman" w:hAnsi="Arial" w:cs="Arial"/>
          <w:bCs/>
          <w:lang w:val="es-ES_tradnl" w:eastAsia="es-ES"/>
        </w:rPr>
        <w:t xml:space="preserve">, el plan del mes se cumple al 76.6%, se realizaron entregas por debajo del plan afectadas las provincias de Artemisa, </w:t>
      </w:r>
      <w:proofErr w:type="spellStart"/>
      <w:r w:rsidRPr="00D5469C">
        <w:rPr>
          <w:rFonts w:ascii="Arial" w:eastAsia="Times New Roman" w:hAnsi="Arial" w:cs="Arial"/>
          <w:bCs/>
          <w:lang w:val="es-ES_tradnl" w:eastAsia="es-ES"/>
        </w:rPr>
        <w:t>Mayabeque</w:t>
      </w:r>
      <w:proofErr w:type="spellEnd"/>
      <w:r w:rsidRPr="00D5469C">
        <w:rPr>
          <w:rFonts w:ascii="Arial" w:eastAsia="Times New Roman" w:hAnsi="Arial" w:cs="Arial"/>
          <w:bCs/>
          <w:lang w:val="es-ES_tradnl" w:eastAsia="es-ES"/>
        </w:rPr>
        <w:t xml:space="preserve">, Villa Clara, Sancti </w:t>
      </w:r>
      <w:proofErr w:type="spellStart"/>
      <w:r w:rsidRPr="00D5469C">
        <w:rPr>
          <w:rFonts w:ascii="Arial" w:eastAsia="Times New Roman" w:hAnsi="Arial" w:cs="Arial"/>
          <w:bCs/>
          <w:lang w:val="es-ES_tradnl" w:eastAsia="es-ES"/>
        </w:rPr>
        <w:t>Spiritus</w:t>
      </w:r>
      <w:proofErr w:type="spellEnd"/>
      <w:r w:rsidRPr="00D5469C">
        <w:rPr>
          <w:rFonts w:ascii="Arial" w:eastAsia="Times New Roman" w:hAnsi="Arial" w:cs="Arial"/>
          <w:bCs/>
          <w:lang w:val="es-ES_tradnl" w:eastAsia="es-ES"/>
        </w:rPr>
        <w:t>, Ciego de Ávila, Camagüey, Granma, Santiago de Cuba e Isla de la Juventud por incumplimiento de los suministradores.</w:t>
      </w:r>
    </w:p>
    <w:p w:rsidR="00B14D06" w:rsidRPr="00D5469C" w:rsidRDefault="00B14D06" w:rsidP="00B14D06">
      <w:pPr>
        <w:numPr>
          <w:ilvl w:val="0"/>
          <w:numId w:val="6"/>
        </w:numPr>
        <w:spacing w:after="0" w:line="240" w:lineRule="auto"/>
        <w:jc w:val="both"/>
        <w:rPr>
          <w:rFonts w:ascii="Arial" w:eastAsia="Times New Roman" w:hAnsi="Arial" w:cs="Arial"/>
          <w:bCs/>
          <w:lang w:val="es-ES_tradnl" w:eastAsia="es-ES"/>
        </w:rPr>
      </w:pPr>
      <w:r w:rsidRPr="00D5469C">
        <w:rPr>
          <w:rFonts w:ascii="Arial" w:eastAsia="Times New Roman" w:hAnsi="Arial" w:cs="Arial"/>
          <w:b/>
          <w:bCs/>
          <w:lang w:val="es-ES_tradnl" w:eastAsia="es-ES"/>
        </w:rPr>
        <w:t>Pastas Alimenticias,</w:t>
      </w:r>
      <w:r w:rsidRPr="00D5469C">
        <w:rPr>
          <w:rFonts w:ascii="Arial" w:eastAsia="Times New Roman" w:hAnsi="Arial" w:cs="Arial"/>
          <w:bCs/>
          <w:lang w:val="es-ES_tradnl" w:eastAsia="es-ES"/>
        </w:rPr>
        <w:t xml:space="preserve"> el plan del mes se cumple al 59.8%, con afectaciones en todas las provincias, por incumplimiento de los suministradores.</w:t>
      </w:r>
    </w:p>
    <w:p w:rsidR="00B14D06" w:rsidRPr="00D5469C" w:rsidRDefault="00B14D06" w:rsidP="00B14D06">
      <w:pPr>
        <w:spacing w:after="0" w:line="240" w:lineRule="auto"/>
        <w:ind w:left="720"/>
        <w:jc w:val="both"/>
        <w:rPr>
          <w:rFonts w:ascii="Arial" w:eastAsia="Times New Roman" w:hAnsi="Arial" w:cs="Arial"/>
          <w:bCs/>
          <w:lang w:val="es-ES_tradnl" w:eastAsia="es-ES"/>
        </w:rPr>
      </w:pPr>
      <w:r w:rsidRPr="00D5469C">
        <w:rPr>
          <w:rFonts w:ascii="Arial" w:eastAsia="Times New Roman" w:hAnsi="Arial" w:cs="Arial"/>
          <w:bCs/>
          <w:lang w:val="es-ES_tradnl" w:eastAsia="es-ES"/>
        </w:rPr>
        <w:t xml:space="preserve">Excepto en Granma. </w:t>
      </w:r>
    </w:p>
    <w:p w:rsidR="00B14D06" w:rsidRPr="00D5469C" w:rsidRDefault="00B14D06" w:rsidP="00B14D06">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Se garantizan las entregas en el consumo social de un plan 26 mil 006 toneladas, incumpliéndose las entregas de harina de maíz, fideos, pastas alimenticias y proteína vegetal por incumplimiento en las entregas de los suministradores en el mes. No se llega hasta el destino final en Santiago de Cuba que solo lleva la Gastronomía, Educación y Salud, los demás organismos mantienen sus carros para cargar los abastecimientos en los almacenes por decisión del CAP de la provincia. </w:t>
      </w:r>
    </w:p>
    <w:p w:rsidR="00B14D06" w:rsidRPr="00D5469C" w:rsidRDefault="00B14D06" w:rsidP="00B14D06">
      <w:pPr>
        <w:spacing w:after="0" w:line="240" w:lineRule="auto"/>
        <w:ind w:left="720"/>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 xml:space="preserve">Ver Anexo 3 </w:t>
      </w:r>
    </w:p>
    <w:p w:rsidR="00B14D06" w:rsidRPr="00C04E8D" w:rsidRDefault="00B14D06" w:rsidP="00B14D06">
      <w:pPr>
        <w:spacing w:after="0" w:line="240" w:lineRule="auto"/>
        <w:rPr>
          <w:bCs/>
          <w:sz w:val="24"/>
          <w:szCs w:val="24"/>
        </w:rPr>
      </w:pPr>
    </w:p>
    <w:p w:rsidR="00B14D06" w:rsidRDefault="00B14D06" w:rsidP="00B14D06">
      <w:pPr>
        <w:spacing w:after="0" w:line="240" w:lineRule="auto"/>
        <w:jc w:val="both"/>
        <w:rPr>
          <w:rFonts w:ascii="Arial" w:eastAsia="Calibri" w:hAnsi="Arial" w:cs="Arial"/>
          <w:b/>
          <w:bCs/>
        </w:rPr>
      </w:pPr>
      <w:r w:rsidRPr="00D5469C">
        <w:rPr>
          <w:rFonts w:ascii="Arial" w:eastAsia="Calibri" w:hAnsi="Arial" w:cs="Arial"/>
          <w:b/>
          <w:bCs/>
        </w:rPr>
        <w:t>Criterios de Medidas: Aceptable</w:t>
      </w:r>
    </w:p>
    <w:p w:rsidR="00B14D06" w:rsidRDefault="00B14D06" w:rsidP="00B14D06">
      <w:pPr>
        <w:spacing w:after="0" w:line="240" w:lineRule="auto"/>
        <w:jc w:val="both"/>
        <w:rPr>
          <w:rFonts w:ascii="Arial" w:eastAsia="Calibri" w:hAnsi="Arial" w:cs="Arial"/>
          <w:b/>
          <w:bCs/>
        </w:rPr>
      </w:pPr>
    </w:p>
    <w:p w:rsidR="00B14D06" w:rsidRPr="00D5469C" w:rsidRDefault="00B14D06" w:rsidP="00B14D06">
      <w:pPr>
        <w:spacing w:after="0" w:line="240" w:lineRule="auto"/>
        <w:jc w:val="both"/>
        <w:rPr>
          <w:rFonts w:ascii="Arial" w:eastAsia="Calibri" w:hAnsi="Arial" w:cs="Arial"/>
          <w:b/>
          <w:bCs/>
        </w:rPr>
      </w:pPr>
      <w:r w:rsidRPr="00D5469C">
        <w:rPr>
          <w:rFonts w:ascii="Arial" w:hAnsi="Arial" w:cs="Arial"/>
          <w:b/>
        </w:rPr>
        <w:t>2.4. Alcanzado al menos 25 días de cobertura de inventarios de los productos.</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Se alcanza en el 15 por ciento de los productos el resto no se logra, ellos son: arroz, frijoles, chicharos, cigarros, fósforos, pollo, HOT DOG.</w:t>
      </w:r>
    </w:p>
    <w:p w:rsidR="00B14D06" w:rsidRPr="00D5469C" w:rsidRDefault="00B14D06" w:rsidP="00B14D06">
      <w:pPr>
        <w:spacing w:after="0" w:line="240" w:lineRule="auto"/>
        <w:jc w:val="both"/>
        <w:rPr>
          <w:rFonts w:ascii="Arial" w:eastAsia="Calibri" w:hAnsi="Arial" w:cs="Arial"/>
          <w:b/>
          <w:bCs/>
          <w:color w:val="FF0000"/>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2.5. Creado el 100% de los laboratorios de calidad en las UEB.</w:t>
      </w:r>
    </w:p>
    <w:p w:rsidR="00B14D06" w:rsidRPr="00D5469C" w:rsidRDefault="00B14D06" w:rsidP="00B14D06">
      <w:pPr>
        <w:spacing w:after="0" w:line="240" w:lineRule="auto"/>
        <w:jc w:val="both"/>
        <w:rPr>
          <w:rFonts w:ascii="Arial" w:eastAsia="Calibri" w:hAnsi="Arial" w:cs="Arial"/>
          <w:bCs/>
          <w:color w:val="0D0D0D"/>
          <w:lang w:val="es-ES_tradnl" w:eastAsia="es-ES"/>
        </w:rPr>
      </w:pPr>
      <w:r w:rsidRPr="00D5469C">
        <w:rPr>
          <w:rFonts w:ascii="Arial" w:eastAsia="Calibri" w:hAnsi="Arial" w:cs="Arial"/>
          <w:bCs/>
          <w:color w:val="0D0D0D"/>
          <w:lang w:val="es-ES_tradnl" w:eastAsia="es-ES"/>
        </w:rPr>
        <w:t>En el completamiento de los puntos de control de la calidad se muestra retroceso, con respecto al mes anterior culminó con un 97% en este mes   se encuentra a un 95 % de culminación por las siguientes razones:</w:t>
      </w:r>
    </w:p>
    <w:p w:rsidR="00B14D06" w:rsidRPr="00D5469C" w:rsidRDefault="00B14D06" w:rsidP="00B14D06">
      <w:pPr>
        <w:pStyle w:val="ListParagraph"/>
        <w:numPr>
          <w:ilvl w:val="0"/>
          <w:numId w:val="8"/>
        </w:numPr>
        <w:spacing w:beforeLines="0" w:before="0" w:afterLines="0" w:after="160" w:line="254" w:lineRule="auto"/>
        <w:contextualSpacing/>
        <w:jc w:val="both"/>
        <w:rPr>
          <w:rFonts w:ascii="Arial" w:hAnsi="Arial" w:cs="Arial"/>
          <w:sz w:val="22"/>
          <w:szCs w:val="22"/>
          <w:lang w:val="es-MX"/>
        </w:rPr>
      </w:pPr>
      <w:r w:rsidRPr="00D5469C">
        <w:rPr>
          <w:rFonts w:ascii="Arial" w:hAnsi="Arial" w:cs="Arial"/>
          <w:b/>
          <w:sz w:val="22"/>
          <w:szCs w:val="22"/>
        </w:rPr>
        <w:t xml:space="preserve">EMPA Matanzas </w:t>
      </w:r>
      <w:r w:rsidRPr="00D5469C">
        <w:rPr>
          <w:rFonts w:ascii="Arial" w:hAnsi="Arial" w:cs="Arial"/>
          <w:sz w:val="22"/>
          <w:szCs w:val="22"/>
        </w:rPr>
        <w:t>presenta 3 puntos de control sin culminar.</w:t>
      </w:r>
    </w:p>
    <w:p w:rsidR="00B14D06" w:rsidRPr="00D5469C" w:rsidRDefault="00B14D06" w:rsidP="00B14D06">
      <w:pPr>
        <w:pStyle w:val="ListParagraph"/>
        <w:numPr>
          <w:ilvl w:val="0"/>
          <w:numId w:val="8"/>
        </w:numPr>
        <w:spacing w:beforeLines="0" w:before="0" w:afterLines="0" w:after="160" w:line="254" w:lineRule="auto"/>
        <w:contextualSpacing/>
        <w:jc w:val="both"/>
        <w:rPr>
          <w:rFonts w:ascii="Arial" w:hAnsi="Arial" w:cs="Arial"/>
          <w:sz w:val="22"/>
          <w:szCs w:val="22"/>
        </w:rPr>
      </w:pPr>
      <w:r w:rsidRPr="00D5469C">
        <w:rPr>
          <w:rFonts w:ascii="Arial" w:hAnsi="Arial" w:cs="Arial"/>
          <w:b/>
          <w:sz w:val="22"/>
          <w:szCs w:val="22"/>
        </w:rPr>
        <w:lastRenderedPageBreak/>
        <w:t>EMPA Camagüey</w:t>
      </w:r>
      <w:r w:rsidRPr="00D5469C">
        <w:rPr>
          <w:rFonts w:ascii="Arial" w:hAnsi="Arial" w:cs="Arial"/>
          <w:sz w:val="22"/>
          <w:szCs w:val="22"/>
        </w:rPr>
        <w:t>: un punto de control en reparación.</w:t>
      </w:r>
    </w:p>
    <w:p w:rsidR="00B14D06" w:rsidRPr="00D5469C" w:rsidRDefault="00B14D06" w:rsidP="00B14D06">
      <w:pPr>
        <w:pStyle w:val="ListParagraph"/>
        <w:numPr>
          <w:ilvl w:val="0"/>
          <w:numId w:val="8"/>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Santiago de Cuba</w:t>
      </w:r>
      <w:r w:rsidRPr="00D5469C">
        <w:rPr>
          <w:rFonts w:ascii="Arial" w:hAnsi="Arial" w:cs="Arial"/>
          <w:sz w:val="22"/>
          <w:szCs w:val="22"/>
        </w:rPr>
        <w:t xml:space="preserve"> se encuentra el punto de la U/B Songo sin funcionar por no estar concluida su reparación y reportan labores de mantenimiento constructivo al resto.</w:t>
      </w:r>
    </w:p>
    <w:p w:rsidR="00B14D06" w:rsidRPr="00D5469C" w:rsidRDefault="00B14D06" w:rsidP="00B14D06">
      <w:pPr>
        <w:pStyle w:val="ListParagraph"/>
        <w:numPr>
          <w:ilvl w:val="0"/>
          <w:numId w:val="8"/>
        </w:numPr>
        <w:spacing w:beforeLines="0" w:before="0" w:afterLines="0" w:after="200" w:line="254" w:lineRule="auto"/>
        <w:contextualSpacing/>
        <w:jc w:val="both"/>
        <w:rPr>
          <w:rFonts w:ascii="Arial" w:hAnsi="Arial" w:cs="Arial"/>
          <w:sz w:val="22"/>
          <w:szCs w:val="22"/>
        </w:rPr>
      </w:pPr>
      <w:r w:rsidRPr="00D5469C">
        <w:rPr>
          <w:rFonts w:ascii="Arial" w:hAnsi="Arial" w:cs="Arial"/>
          <w:b/>
          <w:sz w:val="22"/>
          <w:szCs w:val="22"/>
        </w:rPr>
        <w:t>EMPA Guantánamo:</w:t>
      </w:r>
      <w:r w:rsidRPr="00D5469C">
        <w:rPr>
          <w:rFonts w:ascii="Arial" w:hAnsi="Arial" w:cs="Arial"/>
          <w:sz w:val="22"/>
          <w:szCs w:val="22"/>
        </w:rPr>
        <w:t xml:space="preserve"> uno destruido por el huracán Mathew, y otro que se está utilizando como comedor obrero.</w:t>
      </w:r>
    </w:p>
    <w:p w:rsidR="00B14D06" w:rsidRDefault="00B14D06" w:rsidP="00B14D06">
      <w:pPr>
        <w:spacing w:line="254" w:lineRule="auto"/>
        <w:jc w:val="both"/>
        <w:rPr>
          <w:rFonts w:ascii="Arial" w:hAnsi="Arial" w:cs="Arial"/>
        </w:rPr>
      </w:pPr>
      <w:r w:rsidRPr="00D5469C">
        <w:rPr>
          <w:rFonts w:ascii="Arial" w:hAnsi="Arial" w:cs="Arial"/>
        </w:rPr>
        <w:t xml:space="preserve">La </w:t>
      </w:r>
      <w:r w:rsidRPr="00D5469C">
        <w:rPr>
          <w:rFonts w:ascii="Arial" w:hAnsi="Arial" w:cs="Arial"/>
          <w:b/>
        </w:rPr>
        <w:t>EMPA Matanzas</w:t>
      </w:r>
      <w:r w:rsidRPr="00D5469C">
        <w:rPr>
          <w:rFonts w:ascii="Arial" w:hAnsi="Arial" w:cs="Arial"/>
        </w:rPr>
        <w:t xml:space="preserve"> presenta solamente un punto de control que reporta funcionamiento de </w:t>
      </w:r>
      <w:r>
        <w:rPr>
          <w:rFonts w:ascii="Arial" w:hAnsi="Arial" w:cs="Arial"/>
        </w:rPr>
        <w:t xml:space="preserve">los tres terminados. Ver anexo </w:t>
      </w:r>
    </w:p>
    <w:p w:rsidR="00B14D06" w:rsidRPr="00DA120E" w:rsidRDefault="00B14D06" w:rsidP="00B14D06">
      <w:pPr>
        <w:spacing w:line="254" w:lineRule="auto"/>
        <w:jc w:val="both"/>
        <w:rPr>
          <w:rFonts w:ascii="Arial" w:hAnsi="Arial" w:cs="Arial"/>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2.6. Inaugurado en cada municipio del país una tienda mayorista para atender las diferentes formas de gestión no estatal.</w:t>
      </w:r>
    </w:p>
    <w:p w:rsidR="00B14D06" w:rsidRPr="00D5469C" w:rsidRDefault="00B14D06" w:rsidP="00B14D06">
      <w:pPr>
        <w:jc w:val="both"/>
        <w:rPr>
          <w:rFonts w:ascii="Arial" w:eastAsia="Calibri" w:hAnsi="Arial" w:cs="Arial"/>
          <w:bCs/>
          <w:color w:val="FF0000"/>
        </w:rPr>
      </w:pPr>
      <w:r w:rsidRPr="00D5469C">
        <w:rPr>
          <w:rFonts w:ascii="Arial" w:eastAsia="Calibri" w:hAnsi="Arial" w:cs="Arial"/>
          <w:bCs/>
        </w:rPr>
        <w:t>Inaugurándose en la provincia de La Habana, no así en el resto del país.</w:t>
      </w:r>
    </w:p>
    <w:p w:rsidR="00B14D06" w:rsidRPr="00D5469C" w:rsidRDefault="00B14D06" w:rsidP="00B14D06">
      <w:pPr>
        <w:jc w:val="both"/>
        <w:rPr>
          <w:rFonts w:ascii="Arial" w:eastAsia="Calibri" w:hAnsi="Arial" w:cs="Arial"/>
          <w:b/>
          <w:bCs/>
        </w:rPr>
      </w:pPr>
      <w:r w:rsidRPr="00D5469C">
        <w:rPr>
          <w:rFonts w:ascii="Arial" w:eastAsia="Calibri" w:hAnsi="Arial" w:cs="Arial"/>
          <w:b/>
          <w:bCs/>
        </w:rPr>
        <w:t>Criterios de Medidas: Aceptable</w:t>
      </w:r>
    </w:p>
    <w:p w:rsidR="00B14D06" w:rsidRPr="00D5469C" w:rsidRDefault="00B14D06" w:rsidP="00B14D06">
      <w:pPr>
        <w:pStyle w:val="ListParagraph"/>
        <w:spacing w:before="144" w:after="144"/>
        <w:ind w:left="0"/>
        <w:jc w:val="both"/>
        <w:rPr>
          <w:rFonts w:ascii="Arial" w:hAnsi="Arial" w:cs="Arial"/>
          <w:b/>
          <w:sz w:val="22"/>
          <w:szCs w:val="22"/>
        </w:rPr>
      </w:pPr>
      <w:r w:rsidRPr="00D5469C">
        <w:rPr>
          <w:rFonts w:ascii="Arial" w:hAnsi="Arial" w:cs="Arial"/>
          <w:b/>
          <w:sz w:val="22"/>
          <w:szCs w:val="22"/>
        </w:rPr>
        <w:t>2.7. Realizado al menos un estudio de mercado anual.</w:t>
      </w:r>
    </w:p>
    <w:p w:rsidR="00B14D06" w:rsidRPr="00D5469C" w:rsidRDefault="00B14D06" w:rsidP="00B14D06">
      <w:pPr>
        <w:pStyle w:val="ListParagraph"/>
        <w:spacing w:before="144" w:after="144"/>
        <w:ind w:left="0"/>
        <w:jc w:val="both"/>
        <w:rPr>
          <w:rFonts w:ascii="Arial" w:hAnsi="Arial" w:cs="Arial"/>
          <w:sz w:val="22"/>
          <w:szCs w:val="22"/>
        </w:rPr>
      </w:pPr>
      <w:r w:rsidRPr="00D5469C">
        <w:rPr>
          <w:rFonts w:ascii="Arial" w:hAnsi="Arial" w:cs="Arial"/>
          <w:sz w:val="22"/>
          <w:szCs w:val="22"/>
        </w:rPr>
        <w:t>Se continúa el levantamiento y seguimiento a las acciones en función del mercado, detectando en ello que continúa las tendencias generales hacia las que tenemos que continuar trabajando:</w:t>
      </w:r>
    </w:p>
    <w:p w:rsidR="00B14D06" w:rsidRDefault="00B14D06" w:rsidP="00B14D06">
      <w:pPr>
        <w:spacing w:after="0" w:line="240" w:lineRule="auto"/>
        <w:jc w:val="both"/>
        <w:rPr>
          <w:rFonts w:ascii="Arial" w:eastAsia="Times New Roman" w:hAnsi="Arial" w:cs="Arial"/>
          <w:b/>
          <w:bCs/>
          <w:lang w:eastAsia="es-ES"/>
        </w:rPr>
      </w:pPr>
      <w:r w:rsidRPr="00D5469C">
        <w:rPr>
          <w:rFonts w:ascii="Arial" w:eastAsia="Times New Roman" w:hAnsi="Arial" w:cs="Arial"/>
          <w:lang w:eastAsia="es-ES"/>
        </w:rPr>
        <w:t xml:space="preserve">Existen en el país </w:t>
      </w:r>
      <w:r w:rsidRPr="00D5469C">
        <w:rPr>
          <w:rFonts w:ascii="Arial" w:eastAsia="Times New Roman" w:hAnsi="Arial" w:cs="Arial"/>
          <w:b/>
          <w:bCs/>
          <w:lang w:eastAsia="es-ES"/>
        </w:rPr>
        <w:t xml:space="preserve">204 </w:t>
      </w:r>
      <w:r w:rsidRPr="00D5469C">
        <w:rPr>
          <w:rFonts w:ascii="Arial" w:eastAsia="Times New Roman" w:hAnsi="Arial" w:cs="Arial"/>
          <w:lang w:eastAsia="es-ES"/>
        </w:rPr>
        <w:t>Cooperativas No Agropecuarias, ya todas tienen confirmado los contratos</w:t>
      </w:r>
      <w:r w:rsidRPr="00D5469C">
        <w:rPr>
          <w:rFonts w:ascii="Arial" w:eastAsia="Times New Roman" w:hAnsi="Arial" w:cs="Arial"/>
          <w:b/>
          <w:bCs/>
          <w:lang w:eastAsia="es-ES"/>
        </w:rPr>
        <w:t>. </w:t>
      </w:r>
    </w:p>
    <w:p w:rsidR="00B14D06" w:rsidRPr="00D5469C" w:rsidRDefault="00B14D06" w:rsidP="00B14D06">
      <w:pPr>
        <w:tabs>
          <w:tab w:val="right" w:pos="9639"/>
        </w:tabs>
        <w:spacing w:after="0" w:line="240" w:lineRule="auto"/>
        <w:ind w:left="76" w:right="-568"/>
        <w:jc w:val="both"/>
        <w:rPr>
          <w:rFonts w:ascii="Arial" w:hAnsi="Arial" w:cs="Arial"/>
          <w:b/>
        </w:rPr>
      </w:pPr>
      <w:r w:rsidRPr="00D5469C">
        <w:rPr>
          <w:rFonts w:ascii="Arial" w:hAnsi="Arial" w:cs="Arial"/>
          <w:b/>
        </w:rPr>
        <w:t>TENDENCIAS GENERALES: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Incumplimiento de suministradores.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Demanda superior a los planes.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estudio de mercado para mantener la presencia de los productos.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b/>
          <w:sz w:val="22"/>
          <w:szCs w:val="22"/>
        </w:rPr>
      </w:pPr>
      <w:r w:rsidRPr="00D5469C">
        <w:rPr>
          <w:rFonts w:ascii="Arial" w:hAnsi="Arial" w:cs="Arial"/>
          <w:sz w:val="22"/>
          <w:szCs w:val="22"/>
        </w:rPr>
        <w:t>Resistencia del comercio a recibir determinados productos que afectan el cumplimiento de los planes.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No coordinación entre todos los factores de la provincia, para garantizar presencia de los productos en la red.</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Falta de capacidad de frío en la red para la venta de productos congelados.</w:t>
      </w:r>
    </w:p>
    <w:p w:rsidR="00B14D06" w:rsidRPr="00D5469C" w:rsidRDefault="00B14D06" w:rsidP="00B14D06">
      <w:pPr>
        <w:pStyle w:val="ListParagraph"/>
        <w:numPr>
          <w:ilvl w:val="0"/>
          <w:numId w:val="7"/>
        </w:numPr>
        <w:tabs>
          <w:tab w:val="right" w:pos="9639"/>
        </w:tabs>
        <w:spacing w:beforeLines="0" w:before="0" w:afterLines="0" w:after="0"/>
        <w:ind w:right="-568"/>
        <w:jc w:val="both"/>
        <w:rPr>
          <w:rFonts w:ascii="Arial" w:hAnsi="Arial" w:cs="Arial"/>
          <w:sz w:val="22"/>
          <w:szCs w:val="22"/>
        </w:rPr>
      </w:pPr>
      <w:r w:rsidRPr="00D5469C">
        <w:rPr>
          <w:rFonts w:ascii="Arial" w:hAnsi="Arial" w:cs="Arial"/>
          <w:sz w:val="22"/>
          <w:szCs w:val="22"/>
        </w:rPr>
        <w:t>Dificultades con el transporte que garantice el reaprovisionamiento oportuno de los productos.</w:t>
      </w:r>
    </w:p>
    <w:p w:rsidR="00B14D06" w:rsidRPr="00D5469C" w:rsidRDefault="00B14D06" w:rsidP="00B14D06">
      <w:pPr>
        <w:spacing w:after="0" w:line="240" w:lineRule="auto"/>
        <w:jc w:val="both"/>
        <w:rPr>
          <w:rFonts w:ascii="Arial" w:eastAsia="Times New Roman" w:hAnsi="Arial" w:cs="Arial"/>
          <w:b/>
          <w:bCs/>
          <w:lang w:eastAsia="es-ES"/>
        </w:rPr>
      </w:pPr>
      <w:r w:rsidRPr="00D5469C">
        <w:rPr>
          <w:rFonts w:ascii="Arial" w:eastAsia="Times New Roman" w:hAnsi="Arial" w:cs="Arial"/>
          <w:b/>
          <w:bCs/>
          <w:lang w:eastAsia="es-ES"/>
        </w:rPr>
        <w:t>Para minimizar el impacto de estas tendencias tenemos que insistir en continuar con las acciones planteadas que entre ellas están:</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Chequeo del cumplimiento a las entregas de los suministradores semanalmente.</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Seguimiento por un sistema de audio conferencia del comportamiento de los inventarios de las empresas.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en los Consejos de Distribución municipales, provinciales y nacionales.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Monitoreo de la presencia de los productos en la red.</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Levantamiento de las demandas de las formas de gestión no estatal para considerarlo en el plan.</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Participación diaria en las reuniones de la OPTEI en todas las instancias.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lastRenderedPageBreak/>
        <w:t>Inclusión en la cartera de negocios el proyecto para la inversión extranjera “Operador Logístico 3PL” para la gestión de las cadenas de suministros refrigerados.</w:t>
      </w:r>
    </w:p>
    <w:p w:rsidR="00B14D06" w:rsidRPr="00D5469C" w:rsidRDefault="00B14D06" w:rsidP="00B14D06">
      <w:pPr>
        <w:numPr>
          <w:ilvl w:val="0"/>
          <w:numId w:val="10"/>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Capacitación de especialistas y trabajadores en Análisis de Mercado a través de las aulas de capacitación creadas en todas las Empresas.</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Estas cooperativas se encuentran en el experimento, por lo que no se admite incremento sino continuar identificando las políticas con el trabajo de ellas, así como las normas.</w:t>
      </w:r>
    </w:p>
    <w:p w:rsidR="00B14D06" w:rsidRPr="00D5469C" w:rsidRDefault="00B14D06" w:rsidP="00B14D06">
      <w:pPr>
        <w:spacing w:after="0" w:line="240" w:lineRule="auto"/>
        <w:jc w:val="both"/>
        <w:rPr>
          <w:rFonts w:ascii="Arial" w:eastAsia="Times New Roman" w:hAnsi="Arial" w:cs="Arial"/>
          <w:b/>
          <w:color w:val="FF0000"/>
          <w:u w:val="single"/>
          <w:lang w:val="es-ES_tradnl" w:eastAsia="es-ES"/>
        </w:rPr>
      </w:pPr>
    </w:p>
    <w:p w:rsidR="00B14D06" w:rsidRDefault="00B14D06" w:rsidP="00B14D06">
      <w:pPr>
        <w:spacing w:after="0" w:line="240" w:lineRule="auto"/>
        <w:jc w:val="both"/>
        <w:rPr>
          <w:rFonts w:ascii="Arial" w:eastAsia="Times New Roman" w:hAnsi="Arial" w:cs="Arial"/>
          <w:b/>
          <w:u w:val="single"/>
          <w:lang w:val="es-ES_tradnl" w:eastAsia="es-ES"/>
        </w:rPr>
      </w:pPr>
    </w:p>
    <w:p w:rsidR="00B14D06" w:rsidRPr="00D5469C" w:rsidRDefault="00B14D06" w:rsidP="00B14D06">
      <w:pPr>
        <w:spacing w:after="0" w:line="240" w:lineRule="auto"/>
        <w:jc w:val="both"/>
        <w:rPr>
          <w:rFonts w:ascii="Arial" w:eastAsia="Times New Roman" w:hAnsi="Arial" w:cs="Arial"/>
          <w:b/>
          <w:u w:val="single"/>
          <w:lang w:val="es-ES_tradnl" w:eastAsia="es-ES"/>
        </w:rPr>
      </w:pPr>
      <w:r w:rsidRPr="00D5469C">
        <w:rPr>
          <w:rFonts w:ascii="Arial" w:eastAsia="Times New Roman" w:hAnsi="Arial" w:cs="Arial"/>
          <w:b/>
          <w:u w:val="single"/>
          <w:lang w:val="es-ES_tradnl" w:eastAsia="es-ES"/>
        </w:rPr>
        <w:t>VALORACIÓN VENTAS A CUENTA PROPIAS EN ARRENDAMIENTO</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Al cierre del mes de abril, se localizan 1795 Trabajadores por Cuenta Propias en Arrendamiento, de ellos se han contratado por las Empresas Mayoristas 1410, quedando por contratar 341 trabajadores. Están comprando 1251 trabajadores, arrendado y no están comprando 159 de los contratados.</w:t>
      </w:r>
    </w:p>
    <w:p w:rsidR="00B14D06"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 </w:t>
      </w:r>
    </w:p>
    <w:p w:rsidR="00B14D06" w:rsidRPr="00D5469C"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Las tendencias que tenemos reconocidas están en:</w:t>
      </w:r>
    </w:p>
    <w:p w:rsidR="00B14D06" w:rsidRPr="00D5469C" w:rsidRDefault="00B14D06" w:rsidP="00B14D06">
      <w:pPr>
        <w:spacing w:after="0" w:line="240" w:lineRule="auto"/>
        <w:jc w:val="both"/>
        <w:rPr>
          <w:rFonts w:ascii="Arial" w:eastAsia="Times New Roman" w:hAnsi="Arial" w:cs="Arial"/>
          <w:lang w:eastAsia="es-ES"/>
        </w:rPr>
      </w:pP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No han completado el expediente de arrendamiento con los Grupos Empresariales de Comercio.</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Falta de conocimiento y capacitación para asimilar la nueva actividad</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cuentan con el dinero que tienen que depositar para </w:t>
      </w:r>
      <w:proofErr w:type="spellStart"/>
      <w:r w:rsidRPr="00D5469C">
        <w:rPr>
          <w:rFonts w:ascii="Arial" w:eastAsia="Times New Roman" w:hAnsi="Arial" w:cs="Arial"/>
          <w:lang w:eastAsia="es-ES"/>
        </w:rPr>
        <w:t>aperturar</w:t>
      </w:r>
      <w:proofErr w:type="spellEnd"/>
      <w:r w:rsidRPr="00D5469C">
        <w:rPr>
          <w:rFonts w:ascii="Arial" w:eastAsia="Times New Roman" w:hAnsi="Arial" w:cs="Arial"/>
          <w:lang w:eastAsia="es-ES"/>
        </w:rPr>
        <w:t xml:space="preserve"> las cuentas bancarias.                    </w:t>
      </w:r>
    </w:p>
    <w:p w:rsidR="00B14D06" w:rsidRPr="00D5469C" w:rsidRDefault="00B14D06" w:rsidP="00B14D06">
      <w:pPr>
        <w:numPr>
          <w:ilvl w:val="0"/>
          <w:numId w:val="9"/>
        </w:numPr>
        <w:spacing w:after="0" w:line="240" w:lineRule="auto"/>
        <w:jc w:val="both"/>
        <w:rPr>
          <w:rFonts w:ascii="Arial" w:eastAsia="Times New Roman" w:hAnsi="Arial" w:cs="Arial"/>
          <w:lang w:eastAsia="es-ES"/>
        </w:rPr>
      </w:pPr>
      <w:r w:rsidRPr="00D5469C">
        <w:rPr>
          <w:rFonts w:ascii="Arial" w:eastAsia="Times New Roman" w:hAnsi="Arial" w:cs="Arial"/>
          <w:lang w:eastAsia="es-ES"/>
        </w:rPr>
        <w:t xml:space="preserve">No están interesados por la poca variedad en la nomenclatura que se les oferta. </w:t>
      </w:r>
    </w:p>
    <w:p w:rsidR="00B14D06"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eastAsia="es-ES"/>
        </w:rPr>
        <w:t> </w:t>
      </w:r>
    </w:p>
    <w:p w:rsidR="00B14D06" w:rsidRPr="00A61E32" w:rsidRDefault="00B14D06" w:rsidP="00B14D06">
      <w:pPr>
        <w:spacing w:after="0" w:line="240" w:lineRule="auto"/>
        <w:jc w:val="both"/>
        <w:rPr>
          <w:rFonts w:ascii="Arial" w:eastAsia="Times New Roman" w:hAnsi="Arial" w:cs="Arial"/>
          <w:lang w:eastAsia="es-ES"/>
        </w:rPr>
      </w:pPr>
      <w:r w:rsidRPr="00D5469C">
        <w:rPr>
          <w:rFonts w:ascii="Arial" w:eastAsia="Times New Roman" w:hAnsi="Arial" w:cs="Arial"/>
          <w:b/>
          <w:bCs/>
          <w:lang w:val="es-ES_tradnl" w:eastAsia="es-ES"/>
        </w:rPr>
        <w:t>Las acciones que como sistema tenemos implementadas tienen que estar encaminadas a seguir insistiendo en:</w:t>
      </w:r>
      <w:r w:rsidRPr="00D5469C">
        <w:rPr>
          <w:rFonts w:ascii="Arial" w:eastAsia="Times New Roman" w:hAnsi="Arial" w:cs="Arial"/>
          <w:lang w:val="es-ES_tradnl" w:eastAsia="es-ES"/>
        </w:rPr>
        <w:br/>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Hacer reuniones conjuntas con los Grupos Empresariales de Comercio.</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Insertar en la capacitación a los Bancos, Finanzas y precios y las direcciones de trabajo de las provincias.</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Participar de conjunto en la capacitación de estos trabajadores.</w:t>
      </w:r>
    </w:p>
    <w:p w:rsidR="00B14D06" w:rsidRPr="00D5469C" w:rsidRDefault="00B14D06" w:rsidP="00B14D06">
      <w:pPr>
        <w:pStyle w:val="ListParagraph"/>
        <w:numPr>
          <w:ilvl w:val="0"/>
          <w:numId w:val="11"/>
        </w:numPr>
        <w:spacing w:beforeLines="0" w:before="0" w:afterLines="0" w:after="0"/>
        <w:contextualSpacing/>
        <w:jc w:val="both"/>
        <w:rPr>
          <w:rFonts w:ascii="Arial" w:hAnsi="Arial" w:cs="Arial"/>
          <w:color w:val="FF0000"/>
          <w:sz w:val="22"/>
          <w:szCs w:val="22"/>
          <w:lang w:val="es-ES_tradnl"/>
        </w:rPr>
      </w:pPr>
      <w:r w:rsidRPr="00D5469C">
        <w:rPr>
          <w:rFonts w:ascii="Arial" w:hAnsi="Arial" w:cs="Arial"/>
          <w:sz w:val="22"/>
          <w:szCs w:val="22"/>
          <w:lang w:val="es-ES_tradnl"/>
        </w:rPr>
        <w:t>Explicar y dejar claras las políticas del país de las Normas y Resoluciones vigentes.</w:t>
      </w:r>
    </w:p>
    <w:p w:rsidR="00B14D06" w:rsidRPr="00A61E32" w:rsidRDefault="00B14D06" w:rsidP="00B14D06">
      <w:pPr>
        <w:pStyle w:val="ListParagraph"/>
        <w:numPr>
          <w:ilvl w:val="0"/>
          <w:numId w:val="11"/>
        </w:numPr>
        <w:spacing w:beforeLines="0" w:before="0" w:afterLines="0" w:after="0"/>
        <w:contextualSpacing/>
        <w:jc w:val="left"/>
        <w:rPr>
          <w:rFonts w:ascii="Arial" w:hAnsi="Arial" w:cs="Arial"/>
          <w:color w:val="FF0000"/>
          <w:sz w:val="22"/>
          <w:szCs w:val="22"/>
          <w:lang w:val="es-ES_tradnl"/>
        </w:rPr>
      </w:pPr>
      <w:r w:rsidRPr="008F778D">
        <w:rPr>
          <w:lang w:val="es-ES_tradnl"/>
        </w:rPr>
        <w:t>Explicar costo y beneficio de las mismas.</w:t>
      </w:r>
      <w:r w:rsidRPr="008F778D">
        <w:rPr>
          <w:lang w:val="es-ES_tradnl"/>
        </w:rPr>
        <w:br/>
      </w:r>
    </w:p>
    <w:p w:rsidR="00B14D06" w:rsidRDefault="00B14D06" w:rsidP="00B14D06">
      <w:pPr>
        <w:spacing w:after="0"/>
        <w:contextualSpacing/>
        <w:rPr>
          <w:rFonts w:ascii="Arial" w:eastAsia="Calibri" w:hAnsi="Arial" w:cs="Arial"/>
          <w:b/>
          <w:bCs/>
        </w:rPr>
      </w:pPr>
      <w:r w:rsidRPr="00A61E32">
        <w:rPr>
          <w:rFonts w:ascii="Arial" w:eastAsia="Calibri" w:hAnsi="Arial" w:cs="Arial"/>
          <w:b/>
          <w:bCs/>
        </w:rPr>
        <w:t>Criterios de Medidas: Aceptable</w:t>
      </w:r>
    </w:p>
    <w:p w:rsidR="00B14D06" w:rsidRPr="00A61E32" w:rsidRDefault="00B14D06" w:rsidP="00B14D06">
      <w:pPr>
        <w:spacing w:after="0"/>
        <w:contextualSpacing/>
        <w:jc w:val="both"/>
        <w:rPr>
          <w:rFonts w:ascii="Arial" w:eastAsia="Times New Roman" w:hAnsi="Arial" w:cs="Arial"/>
          <w:color w:val="FF0000"/>
          <w:lang w:val="es-ES_tradnl"/>
        </w:rPr>
      </w:pPr>
      <w:r w:rsidRPr="00A61E32">
        <w:rPr>
          <w:rFonts w:ascii="Arial" w:hAnsi="Arial" w:cs="Arial"/>
        </w:rPr>
        <w:t>2.8. Garantizado el 100% de los contratos con los proveedores y clientes.</w:t>
      </w: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Se garantiza la contratación con proveedores y clientes.</w:t>
      </w:r>
    </w:p>
    <w:p w:rsidR="00B14D06" w:rsidRPr="00A61E32" w:rsidRDefault="00B14D06" w:rsidP="00B14D06">
      <w:pPr>
        <w:spacing w:after="0" w:line="240" w:lineRule="auto"/>
        <w:jc w:val="both"/>
        <w:rPr>
          <w:rFonts w:ascii="Arial" w:eastAsia="Calibri" w:hAnsi="Arial" w:cs="Arial"/>
          <w:bCs/>
          <w:color w:val="0D0D0D"/>
        </w:rPr>
      </w:pP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 xml:space="preserve">Pero en cuanto a las reclamaciones comerciales en el mes se realizaron 224 reclamaciones comerciales, este tema tiene que continuar perfeccionándose en el año. </w:t>
      </w: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Los suministradores más reclamados: ASEGEM (131), TECNOAZUCAR (38), la ENSAL (18).</w:t>
      </w:r>
    </w:p>
    <w:p w:rsidR="00B14D06" w:rsidRPr="00A61E32" w:rsidRDefault="00B14D06" w:rsidP="00B14D06">
      <w:pPr>
        <w:spacing w:after="0" w:line="240" w:lineRule="auto"/>
        <w:jc w:val="both"/>
        <w:rPr>
          <w:rFonts w:ascii="Arial" w:eastAsia="Calibri" w:hAnsi="Arial" w:cs="Arial"/>
          <w:bCs/>
          <w:color w:val="0D0D0D"/>
        </w:rPr>
      </w:pPr>
    </w:p>
    <w:p w:rsidR="00B14D06" w:rsidRPr="00A61E32" w:rsidRDefault="00B14D06" w:rsidP="00B14D06">
      <w:pPr>
        <w:spacing w:after="0" w:line="240" w:lineRule="auto"/>
        <w:jc w:val="both"/>
        <w:rPr>
          <w:rFonts w:ascii="Arial" w:eastAsia="Calibri" w:hAnsi="Arial" w:cs="Arial"/>
          <w:bCs/>
          <w:color w:val="0D0D0D"/>
        </w:rPr>
      </w:pPr>
      <w:r w:rsidRPr="00A61E32">
        <w:rPr>
          <w:rFonts w:ascii="Arial" w:eastAsia="Calibri" w:hAnsi="Arial" w:cs="Arial"/>
          <w:bCs/>
          <w:color w:val="0D0D0D"/>
        </w:rPr>
        <w:t>Ver Anexo 6</w:t>
      </w:r>
    </w:p>
    <w:p w:rsidR="00B14D06" w:rsidRPr="00A61E32" w:rsidRDefault="00B14D06" w:rsidP="00B14D06">
      <w:pPr>
        <w:spacing w:after="0" w:line="240" w:lineRule="auto"/>
        <w:jc w:val="both"/>
        <w:rPr>
          <w:rFonts w:ascii="Arial" w:eastAsia="Calibri" w:hAnsi="Arial" w:cs="Arial"/>
          <w:b/>
          <w:bCs/>
          <w:color w:val="FF0000"/>
        </w:rPr>
      </w:pPr>
    </w:p>
    <w:p w:rsidR="00B14D06" w:rsidRPr="00A61E32" w:rsidRDefault="00B14D06" w:rsidP="00B14D06">
      <w:pPr>
        <w:spacing w:after="0" w:line="240" w:lineRule="auto"/>
        <w:jc w:val="both"/>
        <w:rPr>
          <w:rFonts w:ascii="Arial" w:eastAsia="Calibri" w:hAnsi="Arial" w:cs="Arial"/>
          <w:b/>
          <w:bCs/>
        </w:rPr>
      </w:pPr>
      <w:r w:rsidRPr="00A61E32">
        <w:rPr>
          <w:rFonts w:ascii="Arial" w:eastAsia="Calibri" w:hAnsi="Arial" w:cs="Arial"/>
          <w:b/>
          <w:bCs/>
        </w:rPr>
        <w:t>Criterios de Medidas: Aceptable</w:t>
      </w:r>
    </w:p>
    <w:p w:rsidR="00ED3B5B" w:rsidRPr="00B14D06" w:rsidRDefault="00B14D06" w:rsidP="00B14D06">
      <w:pPr>
        <w:rPr>
          <w:rStyle w:val="Emphasis"/>
        </w:rPr>
      </w:pPr>
      <w:r>
        <w:rPr>
          <w:rFonts w:ascii="Arial" w:hAnsi="Arial" w:cs="Arial"/>
          <w:b/>
          <w:noProof/>
          <w:lang w:val="en-U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pt;margin-top:20.7pt;width:573.6pt;height:463.55pt;z-index:251658240">
            <v:imagedata r:id="rId6" o:title=""/>
            <w10:wrap type="square" side="right"/>
          </v:shape>
          <o:OLEObject Type="Embed" ProgID="Excel.Sheet.8" ShapeID="_x0000_s1026" DrawAspect="Content" ObjectID="_1625756116" r:id="rId7"/>
        </w:object>
      </w:r>
      <w:r w:rsidRPr="00A61E32">
        <w:rPr>
          <w:rFonts w:ascii="Arial" w:hAnsi="Arial" w:cs="Arial"/>
          <w:b/>
        </w:rPr>
        <w:t>ANEXO 1 CUMPLIMIENT</w:t>
      </w:r>
    </w:p>
    <w:sectPr w:rsidR="00ED3B5B" w:rsidRPr="00B14D06" w:rsidSect="00223FA0">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2B6A"/>
    <w:multiLevelType w:val="hybridMultilevel"/>
    <w:tmpl w:val="89C26E0C"/>
    <w:lvl w:ilvl="0" w:tplc="0C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E3B1A5C"/>
    <w:multiLevelType w:val="hybridMultilevel"/>
    <w:tmpl w:val="15FA6626"/>
    <w:lvl w:ilvl="0" w:tplc="0409000D">
      <w:start w:val="1"/>
      <w:numFmt w:val="bullet"/>
      <w:lvlText w:val=""/>
      <w:lvlJc w:val="left"/>
      <w:pPr>
        <w:tabs>
          <w:tab w:val="num" w:pos="720"/>
        </w:tabs>
        <w:ind w:left="720" w:hanging="360"/>
      </w:pPr>
      <w:rPr>
        <w:rFonts w:ascii="Wingdings" w:hAnsi="Wingdings" w:hint="default"/>
      </w:rPr>
    </w:lvl>
    <w:lvl w:ilvl="1" w:tplc="8F5A0C5C" w:tentative="1">
      <w:start w:val="1"/>
      <w:numFmt w:val="decimal"/>
      <w:lvlText w:val="%2."/>
      <w:lvlJc w:val="left"/>
      <w:pPr>
        <w:tabs>
          <w:tab w:val="num" w:pos="1440"/>
        </w:tabs>
        <w:ind w:left="1440" w:hanging="360"/>
      </w:pPr>
    </w:lvl>
    <w:lvl w:ilvl="2" w:tplc="A162D000" w:tentative="1">
      <w:start w:val="1"/>
      <w:numFmt w:val="decimal"/>
      <w:lvlText w:val="%3."/>
      <w:lvlJc w:val="left"/>
      <w:pPr>
        <w:tabs>
          <w:tab w:val="num" w:pos="2160"/>
        </w:tabs>
        <w:ind w:left="2160" w:hanging="360"/>
      </w:pPr>
    </w:lvl>
    <w:lvl w:ilvl="3" w:tplc="208C164A" w:tentative="1">
      <w:start w:val="1"/>
      <w:numFmt w:val="decimal"/>
      <w:lvlText w:val="%4."/>
      <w:lvlJc w:val="left"/>
      <w:pPr>
        <w:tabs>
          <w:tab w:val="num" w:pos="2880"/>
        </w:tabs>
        <w:ind w:left="2880" w:hanging="360"/>
      </w:pPr>
    </w:lvl>
    <w:lvl w:ilvl="4" w:tplc="8AB02712" w:tentative="1">
      <w:start w:val="1"/>
      <w:numFmt w:val="decimal"/>
      <w:lvlText w:val="%5."/>
      <w:lvlJc w:val="left"/>
      <w:pPr>
        <w:tabs>
          <w:tab w:val="num" w:pos="3600"/>
        </w:tabs>
        <w:ind w:left="3600" w:hanging="360"/>
      </w:pPr>
    </w:lvl>
    <w:lvl w:ilvl="5" w:tplc="4B348E0C" w:tentative="1">
      <w:start w:val="1"/>
      <w:numFmt w:val="decimal"/>
      <w:lvlText w:val="%6."/>
      <w:lvlJc w:val="left"/>
      <w:pPr>
        <w:tabs>
          <w:tab w:val="num" w:pos="4320"/>
        </w:tabs>
        <w:ind w:left="4320" w:hanging="360"/>
      </w:pPr>
    </w:lvl>
    <w:lvl w:ilvl="6" w:tplc="CE680040" w:tentative="1">
      <w:start w:val="1"/>
      <w:numFmt w:val="decimal"/>
      <w:lvlText w:val="%7."/>
      <w:lvlJc w:val="left"/>
      <w:pPr>
        <w:tabs>
          <w:tab w:val="num" w:pos="5040"/>
        </w:tabs>
        <w:ind w:left="5040" w:hanging="360"/>
      </w:pPr>
    </w:lvl>
    <w:lvl w:ilvl="7" w:tplc="E98670C8" w:tentative="1">
      <w:start w:val="1"/>
      <w:numFmt w:val="decimal"/>
      <w:lvlText w:val="%8."/>
      <w:lvlJc w:val="left"/>
      <w:pPr>
        <w:tabs>
          <w:tab w:val="num" w:pos="5760"/>
        </w:tabs>
        <w:ind w:left="5760" w:hanging="360"/>
      </w:pPr>
    </w:lvl>
    <w:lvl w:ilvl="8" w:tplc="49EAE8CE" w:tentative="1">
      <w:start w:val="1"/>
      <w:numFmt w:val="decimal"/>
      <w:lvlText w:val="%9."/>
      <w:lvlJc w:val="left"/>
      <w:pPr>
        <w:tabs>
          <w:tab w:val="num" w:pos="6480"/>
        </w:tabs>
        <w:ind w:left="6480" w:hanging="360"/>
      </w:pPr>
    </w:lvl>
  </w:abstractNum>
  <w:abstractNum w:abstractNumId="2" w15:restartNumberingAfterBreak="0">
    <w:nsid w:val="1BF00D9A"/>
    <w:multiLevelType w:val="hybridMultilevel"/>
    <w:tmpl w:val="F836E8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9E5AD0"/>
    <w:multiLevelType w:val="hybridMultilevel"/>
    <w:tmpl w:val="1CE4979C"/>
    <w:lvl w:ilvl="0" w:tplc="0409000D">
      <w:start w:val="1"/>
      <w:numFmt w:val="bullet"/>
      <w:lvlText w:val=""/>
      <w:lvlJc w:val="left"/>
      <w:pPr>
        <w:tabs>
          <w:tab w:val="num" w:pos="720"/>
        </w:tabs>
        <w:ind w:left="720" w:hanging="360"/>
      </w:pPr>
      <w:rPr>
        <w:rFonts w:ascii="Wingdings" w:hAnsi="Wingdings" w:hint="default"/>
      </w:rPr>
    </w:lvl>
    <w:lvl w:ilvl="1" w:tplc="8F227534" w:tentative="1">
      <w:start w:val="1"/>
      <w:numFmt w:val="decimal"/>
      <w:lvlText w:val="%2."/>
      <w:lvlJc w:val="left"/>
      <w:pPr>
        <w:tabs>
          <w:tab w:val="num" w:pos="1440"/>
        </w:tabs>
        <w:ind w:left="1440" w:hanging="360"/>
      </w:pPr>
    </w:lvl>
    <w:lvl w:ilvl="2" w:tplc="DB2E126A" w:tentative="1">
      <w:start w:val="1"/>
      <w:numFmt w:val="decimal"/>
      <w:lvlText w:val="%3."/>
      <w:lvlJc w:val="left"/>
      <w:pPr>
        <w:tabs>
          <w:tab w:val="num" w:pos="2160"/>
        </w:tabs>
        <w:ind w:left="2160" w:hanging="360"/>
      </w:pPr>
    </w:lvl>
    <w:lvl w:ilvl="3" w:tplc="D62C06FA" w:tentative="1">
      <w:start w:val="1"/>
      <w:numFmt w:val="decimal"/>
      <w:lvlText w:val="%4."/>
      <w:lvlJc w:val="left"/>
      <w:pPr>
        <w:tabs>
          <w:tab w:val="num" w:pos="2880"/>
        </w:tabs>
        <w:ind w:left="2880" w:hanging="360"/>
      </w:pPr>
    </w:lvl>
    <w:lvl w:ilvl="4" w:tplc="F056D74A" w:tentative="1">
      <w:start w:val="1"/>
      <w:numFmt w:val="decimal"/>
      <w:lvlText w:val="%5."/>
      <w:lvlJc w:val="left"/>
      <w:pPr>
        <w:tabs>
          <w:tab w:val="num" w:pos="3600"/>
        </w:tabs>
        <w:ind w:left="3600" w:hanging="360"/>
      </w:pPr>
    </w:lvl>
    <w:lvl w:ilvl="5" w:tplc="B2201BDC" w:tentative="1">
      <w:start w:val="1"/>
      <w:numFmt w:val="decimal"/>
      <w:lvlText w:val="%6."/>
      <w:lvlJc w:val="left"/>
      <w:pPr>
        <w:tabs>
          <w:tab w:val="num" w:pos="4320"/>
        </w:tabs>
        <w:ind w:left="4320" w:hanging="360"/>
      </w:pPr>
    </w:lvl>
    <w:lvl w:ilvl="6" w:tplc="1B56F93A" w:tentative="1">
      <w:start w:val="1"/>
      <w:numFmt w:val="decimal"/>
      <w:lvlText w:val="%7."/>
      <w:lvlJc w:val="left"/>
      <w:pPr>
        <w:tabs>
          <w:tab w:val="num" w:pos="5040"/>
        </w:tabs>
        <w:ind w:left="5040" w:hanging="360"/>
      </w:pPr>
    </w:lvl>
    <w:lvl w:ilvl="7" w:tplc="CEF2BBCC" w:tentative="1">
      <w:start w:val="1"/>
      <w:numFmt w:val="decimal"/>
      <w:lvlText w:val="%8."/>
      <w:lvlJc w:val="left"/>
      <w:pPr>
        <w:tabs>
          <w:tab w:val="num" w:pos="5760"/>
        </w:tabs>
        <w:ind w:left="5760" w:hanging="360"/>
      </w:pPr>
    </w:lvl>
    <w:lvl w:ilvl="8" w:tplc="27AE8798" w:tentative="1">
      <w:start w:val="1"/>
      <w:numFmt w:val="decimal"/>
      <w:lvlText w:val="%9."/>
      <w:lvlJc w:val="left"/>
      <w:pPr>
        <w:tabs>
          <w:tab w:val="num" w:pos="6480"/>
        </w:tabs>
        <w:ind w:left="6480" w:hanging="360"/>
      </w:pPr>
    </w:lvl>
  </w:abstractNum>
  <w:abstractNum w:abstractNumId="4" w15:restartNumberingAfterBreak="0">
    <w:nsid w:val="2E287186"/>
    <w:multiLevelType w:val="hybridMultilevel"/>
    <w:tmpl w:val="F9E423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33C3552"/>
    <w:multiLevelType w:val="hybridMultilevel"/>
    <w:tmpl w:val="EC08712A"/>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595D6E"/>
    <w:multiLevelType w:val="hybridMultilevel"/>
    <w:tmpl w:val="D3C60A5A"/>
    <w:lvl w:ilvl="0" w:tplc="0C0A000D">
      <w:start w:val="1"/>
      <w:numFmt w:val="bullet"/>
      <w:lvlText w:val=""/>
      <w:lvlJc w:val="left"/>
      <w:pPr>
        <w:ind w:left="436"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7" w15:restartNumberingAfterBreak="0">
    <w:nsid w:val="3EB854CA"/>
    <w:multiLevelType w:val="hybridMultilevel"/>
    <w:tmpl w:val="0958C9F0"/>
    <w:lvl w:ilvl="0" w:tplc="98A2074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6510"/>
    <w:multiLevelType w:val="hybridMultilevel"/>
    <w:tmpl w:val="051EC656"/>
    <w:lvl w:ilvl="0" w:tplc="0409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DF07E7"/>
    <w:multiLevelType w:val="hybridMultilevel"/>
    <w:tmpl w:val="0F7A19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1E5710"/>
    <w:multiLevelType w:val="hybridMultilevel"/>
    <w:tmpl w:val="5230915A"/>
    <w:lvl w:ilvl="0" w:tplc="0409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8B60FE"/>
    <w:multiLevelType w:val="hybridMultilevel"/>
    <w:tmpl w:val="936C10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1"/>
  </w:num>
  <w:num w:numId="5">
    <w:abstractNumId w:val="9"/>
  </w:num>
  <w:num w:numId="6">
    <w:abstractNumId w:val="2"/>
  </w:num>
  <w:num w:numId="7">
    <w:abstractNumId w:val="6"/>
  </w:num>
  <w:num w:numId="8">
    <w:abstractNumId w:val="4"/>
  </w:num>
  <w:num w:numId="9">
    <w:abstractNumId w:val="3"/>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06"/>
    <w:rsid w:val="00223FA0"/>
    <w:rsid w:val="00B14D06"/>
    <w:rsid w:val="00ED3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205BBED-F821-4C61-ABF5-B9CF2711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D06"/>
    <w:rPr>
      <w:lang w:val="es-MX"/>
    </w:rPr>
  </w:style>
  <w:style w:type="paragraph" w:styleId="Heading1">
    <w:name w:val="heading 1"/>
    <w:basedOn w:val="Normal"/>
    <w:next w:val="Normal"/>
    <w:link w:val="Heading1Char"/>
    <w:uiPriority w:val="9"/>
    <w:qFormat/>
    <w:rsid w:val="00B14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4D06"/>
    <w:rPr>
      <w:i/>
      <w:iCs/>
    </w:rPr>
  </w:style>
  <w:style w:type="character" w:customStyle="1" w:styleId="Heading1Char">
    <w:name w:val="Heading 1 Char"/>
    <w:basedOn w:val="DefaultParagraphFont"/>
    <w:link w:val="Heading1"/>
    <w:uiPriority w:val="9"/>
    <w:rsid w:val="00B14D06"/>
    <w:rPr>
      <w:rFonts w:asciiTheme="majorHAnsi" w:eastAsiaTheme="majorEastAsia" w:hAnsiTheme="majorHAnsi" w:cstheme="majorBidi"/>
      <w:color w:val="2E74B5" w:themeColor="accent1" w:themeShade="BF"/>
      <w:sz w:val="32"/>
      <w:szCs w:val="32"/>
      <w:lang w:val="es-MX"/>
    </w:rPr>
  </w:style>
  <w:style w:type="paragraph" w:styleId="ListParagraph">
    <w:name w:val="List Paragraph"/>
    <w:basedOn w:val="Normal"/>
    <w:uiPriority w:val="34"/>
    <w:qFormat/>
    <w:rsid w:val="00B14D06"/>
    <w:pPr>
      <w:spacing w:beforeLines="60" w:before="60" w:afterLines="60" w:after="60" w:line="240" w:lineRule="auto"/>
      <w:ind w:left="720"/>
      <w:jc w:val="center"/>
    </w:pPr>
    <w:rPr>
      <w:rFonts w:ascii="Times New Roman" w:eastAsia="Times New Roman" w:hAnsi="Times New Roman" w:cs="Times New Roman"/>
      <w:sz w:val="24"/>
      <w:szCs w:val="24"/>
      <w:lang w:val="es-ES" w:eastAsia="es-ES"/>
    </w:rPr>
  </w:style>
  <w:style w:type="paragraph" w:customStyle="1" w:styleId="Sinespaciado1">
    <w:name w:val="Sin espaciado1"/>
    <w:aliases w:val="verdana sin espacio"/>
    <w:link w:val="NoSpacingChar"/>
    <w:uiPriority w:val="99"/>
    <w:rsid w:val="00B14D06"/>
    <w:pPr>
      <w:spacing w:after="0" w:line="240" w:lineRule="auto"/>
    </w:pPr>
    <w:rPr>
      <w:rFonts w:ascii="Calibri" w:eastAsia="Times New Roman" w:hAnsi="Calibri" w:cs="Times New Roman"/>
      <w:lang w:eastAsia="es-ES"/>
    </w:rPr>
  </w:style>
  <w:style w:type="character" w:customStyle="1" w:styleId="NoSpacingChar">
    <w:name w:val="No Spacing Char"/>
    <w:aliases w:val="verdana sin espacio Char"/>
    <w:link w:val="Sinespaciado1"/>
    <w:uiPriority w:val="99"/>
    <w:locked/>
    <w:rsid w:val="00B14D06"/>
    <w:rPr>
      <w:rFonts w:ascii="Calibri" w:eastAsia="Times New Roman" w:hAnsi="Calibri"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Excel_97-2003_Worksheet.xls"/><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1D9F-F988-488B-A8FC-312652BC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3175</Words>
  <Characters>17467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2</cp:revision>
  <dcterms:created xsi:type="dcterms:W3CDTF">2019-07-27T21:53:00Z</dcterms:created>
  <dcterms:modified xsi:type="dcterms:W3CDTF">2019-07-27T22:09:00Z</dcterms:modified>
</cp:coreProperties>
</file>