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402"/>
        <w:gridCol w:w="3061"/>
        <w:gridCol w:w="3402"/>
      </w:tblGrid>
      <w:tr>
        <w:tc>
          <w:tcPr>
            <w:tcW w:type="dxa" w:w="3402"/>
          </w:tcPr>
          <w:p>
            <w:r/>
          </w:p>
          <w:tbl>
            <w:tblPr>
              <w:tblW w:type="auto" w:w="0"/>
              <w:tblLook w:firstColumn="1" w:firstRow="1" w:lastColumn="0" w:lastRow="0" w:noHBand="0" w:noVBand="1" w:val="04A0"/>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3402"/>
            </w:tblGrid>
            <w:tr>
              <w:tc>
                <w:tcPr>
                  <w:tcW w:type="dxa" w:w="3402"/>
                </w:tcPr>
                <w:p>
                  <w:pPr>
                    <w:spacing w:after="0"/>
                  </w:pPr>
                  <w:r>
                    <w:rPr>
                      <w:b/>
                      <w:sz w:val="19"/>
                    </w:rPr>
                    <w:t xml:space="preserve">Seminary: </w:t>
                  </w:r>
                  <w:r>
                    <w:rPr>
                      <w:sz w:val="19"/>
                    </w:rPr>
                    <w:t>Haj Mulla Sadeq Mojtahed Qomi</w:t>
                  </w:r>
                </w:p>
                <w:p>
                  <w:pPr>
                    <w:spacing w:after="0"/>
                  </w:pPr>
                  <w:r>
                    <w:rPr>
                      <w:b/>
                      <w:sz w:val="19"/>
                    </w:rPr>
                    <w:t xml:space="preserve">City: </w:t>
                  </w:r>
                  <w:r>
                    <w:rPr>
                      <w:sz w:val="19"/>
                    </w:rPr>
                    <w:t xml:space="preserve">Qom          </w:t>
                  </w:r>
                  <w:r>
                    <w:rPr>
                      <w:b/>
                      <w:sz w:val="19"/>
                    </w:rPr>
                    <w:t xml:space="preserve">Province: </w:t>
                  </w:r>
                  <w:r>
                    <w:rPr>
                      <w:sz w:val="19"/>
                    </w:rPr>
                    <w:t>Qom</w:t>
                  </w:r>
                </w:p>
              </w:tc>
            </w:tr>
          </w:tbl>
          <w:p/>
        </w:tc>
        <w:tc>
          <w:tcPr>
            <w:tcW w:type="dxa" w:w="3061"/>
          </w:tcPr>
          <w:p>
            <w:pPr>
              <w:jc w:val="center"/>
            </w:pPr>
            <w:r>
              <w:drawing>
                <wp:inline xmlns:a="http://schemas.openxmlformats.org/drawingml/2006/main" xmlns:pic="http://schemas.openxmlformats.org/drawingml/2006/picture">
                  <wp:extent cx="540000" cy="276183"/>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40000" cy="276183"/>
                          </a:xfrm>
                          <a:prstGeom prst="rect"/>
                        </pic:spPr>
                      </pic:pic>
                    </a:graphicData>
                  </a:graphic>
                </wp:inline>
              </w:drawing>
            </w:r>
          </w:p>
          <w:p>
            <w:pPr>
              <w:jc w:val="center"/>
            </w:pPr>
            <w:r>
              <w:rPr>
                <w:i/>
                <w:sz w:val="18"/>
              </w:rPr>
              <w:t>In the Name of God, the Exalted</w:t>
            </w:r>
          </w:p>
        </w:tc>
        <w:tc>
          <w:tcPr>
            <w:tcW w:type="dxa" w:w="3402"/>
          </w:tcPr>
          <w:p>
            <w:pPr>
              <w:jc w:val="right"/>
            </w:pPr>
            <w:r>
              <w:drawing>
                <wp:inline xmlns:a="http://schemas.openxmlformats.org/drawingml/2006/main" xmlns:pic="http://schemas.openxmlformats.org/drawingml/2006/picture">
                  <wp:extent cx="936000" cy="915383"/>
                  <wp:docPr id="2" name="Picture 2"/>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936000" cy="915383"/>
                          </a:xfrm>
                          <a:prstGeom prst="rect"/>
                        </pic:spPr>
                      </pic:pic>
                    </a:graphicData>
                  </a:graphic>
                </wp:inline>
              </w:drawing>
            </w:r>
          </w:p>
          <w:p>
            <w:pPr>
              <w:jc w:val="right"/>
            </w:pPr>
            <w:r>
              <w:rPr>
                <w:sz w:val="16"/>
              </w:rPr>
              <w:t>Islamic Seminaries Management Centre</w:t>
              <w:br/>
              <w:t>Deputy of Research</w:t>
            </w:r>
          </w:p>
        </w:tc>
      </w:tr>
    </w:tbl>
    <w:p>
      <w:pPr>
        <w:spacing w:after="40"/>
      </w:pPr>
    </w:p>
    <w:p>
      <w:pPr>
        <w:spacing w:after="0"/>
        <w:jc w:val="center"/>
      </w:pPr>
      <w:r>
        <w:rPr>
          <w:b/>
          <w:i w:val="0"/>
          <w:sz w:val="36"/>
        </w:rPr>
        <w:t>Final Research Proposal</w:t>
      </w:r>
    </w:p>
    <w:p>
      <w:pPr>
        <w:spacing w:after="200"/>
        <w:jc w:val="center"/>
      </w:pPr>
      <w:r>
        <w:rPr>
          <w:b/>
          <w:i w:val="0"/>
          <w:sz w:val="26"/>
        </w:rPr>
        <w:t>(Appendix 2)</w:t>
      </w:r>
    </w:p>
    <w:tbl>
      <w:tblPr>
        <w:tblW w:type="auto" w:w="0"/>
        <w:jc w:val="center"/>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blGrid>
        <w:gridCol w:w="9893"/>
      </w:tblGrid>
      <w:tr>
        <w:tc>
          <w:tcPr>
            <w:tcW w:type="dxa" w:w="9865"/>
          </w:tcPr>
          <w:p>
            <w:pPr>
              <w:spacing w:after="80"/>
            </w:pPr>
            <w:r>
              <w:rPr>
                <w:b/>
              </w:rPr>
              <w:t xml:space="preserve">Full Name: </w:t>
            </w:r>
            <w:r>
              <w:t>Mohammad Amin Sedghi</w:t>
            </w:r>
            <w:r>
              <w:tab/>
              <w:tab/>
              <w:tab/>
              <w:tab/>
            </w:r>
            <w:r>
              <w:rPr>
                <w:b/>
              </w:rPr>
              <w:t xml:space="preserve">File No.: </w:t>
            </w:r>
            <w:r>
              <w:t>198162</w:t>
            </w:r>
          </w:p>
          <w:p>
            <w:pPr>
              <w:spacing w:after="80"/>
            </w:pPr>
            <w:r>
              <w:rPr>
                <w:b/>
              </w:rPr>
              <w:t xml:space="preserve">Title of the Final Research: </w:t>
            </w:r>
            <w:r>
              <w:t xml:space="preserve">A Literary Analysis of </w:t>
            </w:r>
            <w:r>
              <w:rPr>
                <w:i/>
              </w:rPr>
              <w:t>Thānī Ithnayn</w:t>
            </w:r>
            <w:r>
              <w:t xml:space="preserve"> (“the Second of Two”) and Similar Numerical Constructions</w:t>
            </w:r>
          </w:p>
          <w:p>
            <w:pPr>
              <w:spacing w:after="80"/>
            </w:pPr>
            <w:r>
              <w:rPr>
                <w:b/>
              </w:rPr>
              <w:t xml:space="preserve">Supervisor: </w:t>
            </w:r>
            <w:r>
              <w:t>Hujjat al-Islam Mohammad Fazel Azimi</w:t>
            </w:r>
          </w:p>
          <w:p>
            <w:pPr>
              <w:spacing w:after="40"/>
            </w:pPr>
            <w:r>
              <w:rPr>
                <w:b/>
              </w:rPr>
              <w:t xml:space="preserve">Date of submission of the detailed proposal: </w:t>
            </w:r>
            <w:r>
              <w:t>......... / ....... / ...............</w:t>
            </w:r>
            <w:r>
              <w:tab/>
              <w:tab/>
            </w:r>
            <w:r>
              <w:rPr>
                <w:b/>
              </w:rPr>
              <w:t xml:space="preserve">Signature: </w:t>
            </w:r>
            <w:r>
              <w:t>..................</w:t>
            </w:r>
          </w:p>
        </w:tc>
      </w:tr>
    </w:tbl>
    <w:p>
      <w:pPr>
        <w:spacing w:after="80"/>
      </w:pPr>
    </w:p>
    <w:p>
      <w:pPr>
        <w:pStyle w:val="Heading1"/>
      </w:pPr>
      <w:r>
        <w:t>1. Statement of the Problem</w:t>
      </w:r>
    </w:p>
    <w:p>
      <w:pPr>
        <w:spacing w:after="120"/>
        <w:jc w:val="both"/>
      </w:pPr>
      <w:r>
        <w:t xml:space="preserve">Among the special numerical constructions found in the Holy Qur’an and in the Arabic language that have rarely been analysed in detail in the textbooks of the Islamic seminaries are constructions such as </w:t>
      </w:r>
      <w:r>
        <w:rPr>
          <w:i/>
        </w:rPr>
        <w:t>thānī ithnayn</w:t>
      </w:r>
      <w:r>
        <w:t xml:space="preserve"> (“the second of two”). From the morphological, syntactic and lexical points of view, these numerical constructions possess subtleties that play a decisive role in understanding their precise meaning and translating them correctly. Neglecting to examine the structure and function of these constructions can lead to ambiguity in exegesis or to errors in translation. It is therefore essential to present a comprehensive and well-documented analysis of such constructions so that seminary students and researchers, relying on the precise foundations of the Arabic language, can attain a more accurate and scholarly understanding of their syntactic and semantic context.</w:t>
      </w:r>
    </w:p>
    <w:p>
      <w:pPr>
        <w:pStyle w:val="Heading1"/>
      </w:pPr>
      <w:r>
        <w:t>2. Necessity of the Research</w:t>
      </w:r>
    </w:p>
    <w:p>
      <w:pPr>
        <w:spacing w:after="120"/>
        <w:jc w:val="both"/>
      </w:pPr>
      <w:r>
        <w:t xml:space="preserve">According to the survey carried out, although the numerical construction </w:t>
      </w:r>
      <w:r>
        <w:rPr>
          <w:i/>
        </w:rPr>
        <w:t>thānī ithnayn</w:t>
      </w:r>
      <w:r>
        <w:t xml:space="preserve"> and similar expressions occur many times in religious texts, including the Holy Qur’an, no work or writing was found that offers a detailed and precise literary analysis of them. This research therefore undertakes a literary study and analysis of these constructions and can fill the gap and shortcomings that exist in this area of research.</w:t>
      </w:r>
    </w:p>
    <w:p>
      <w:pPr>
        <w:pStyle w:val="Heading1"/>
      </w:pPr>
      <w:r>
        <w:t>3. Review of the Literature</w:t>
      </w:r>
    </w:p>
    <w:p>
      <w:pPr>
        <w:spacing w:after="120"/>
        <w:jc w:val="both"/>
      </w:pPr>
      <w:r>
        <w:t xml:space="preserve">In the survey that was carried out, no study, book, thesis or article was found that subjects the topic of </w:t>
      </w:r>
      <w:r>
        <w:rPr>
          <w:i/>
        </w:rPr>
        <w:t>thānī ithnayn</w:t>
      </w:r>
      <w:r>
        <w:t xml:space="preserve"> to a literary examination; this can be counted among the advantages of the present research.</w:t>
      </w:r>
    </w:p>
    <w:p>
      <w:pPr>
        <w:spacing w:after="120"/>
        <w:jc w:val="both"/>
      </w:pPr>
      <w:r>
        <w:rPr>
          <w:b w:val="0"/>
          <w:i w:val="0"/>
        </w:rPr>
        <w:t>Nevertheless, some works have dealt with the number briefly in the course of other discussions. A report on these works follows:</w:t>
      </w:r>
    </w:p>
    <w:p>
      <w:pPr>
        <w:pStyle w:val="Heading2"/>
      </w:pPr>
      <w:r>
        <w:t>3.1. Morphological works</w:t>
      </w:r>
    </w:p>
    <w:p>
      <w:pPr>
        <w:pStyle w:val="ListNumber"/>
        <w:spacing w:after="60"/>
      </w:pPr>
      <w:r>
        <w:rPr>
          <w:i w:val="0"/>
          <w:sz w:val="22"/>
        </w:rPr>
        <w:t xml:space="preserve">Daqr, ‘Abd al-Ghanī, </w:t>
      </w:r>
      <w:r>
        <w:rPr>
          <w:i/>
          <w:sz w:val="22"/>
        </w:rPr>
        <w:t>Mu‘jam al-Qawā‘id al-‘Arabiyya</w:t>
      </w:r>
      <w:r>
        <w:rPr>
          <w:i w:val="0"/>
          <w:sz w:val="22"/>
        </w:rPr>
        <w:t>, Qom: al-Ḥamīd, 1410 AH, p. 293.</w:t>
      </w:r>
    </w:p>
    <w:p>
      <w:pPr>
        <w:pStyle w:val="ListNumber"/>
        <w:spacing w:after="60"/>
      </w:pPr>
      <w:r>
        <w:rPr>
          <w:i w:val="0"/>
          <w:sz w:val="22"/>
        </w:rPr>
        <w:t xml:space="preserve">Ḥasan, ‘Abbās, </w:t>
      </w:r>
      <w:r>
        <w:rPr>
          <w:i/>
          <w:sz w:val="22"/>
        </w:rPr>
        <w:t>al-Naḥw al-Wāfī ma‘a Rabṭihi bi-l-Asālīb al-Rafī‘a wa-l-Ḥayāt al-Lughawiyya al-Mutajaddida</w:t>
      </w:r>
      <w:r>
        <w:rPr>
          <w:i w:val="0"/>
          <w:sz w:val="22"/>
        </w:rPr>
        <w:t>, Tehran: Nāṣir Khusraw, 1367 SH, vol. 4, p. 515.</w:t>
      </w:r>
    </w:p>
    <w:p>
      <w:pPr>
        <w:pStyle w:val="ListNumber"/>
        <w:spacing w:after="60"/>
      </w:pPr>
      <w:r>
        <w:rPr>
          <w:i w:val="0"/>
          <w:sz w:val="22"/>
        </w:rPr>
        <w:t xml:space="preserve">Nāẓir al-Jaysh, Muḥammad ibn Yūsuf (together with Ibn Mālik, Muḥammad ibn ‘Abd Allāh), </w:t>
      </w:r>
      <w:r>
        <w:rPr>
          <w:i/>
          <w:sz w:val="22"/>
        </w:rPr>
        <w:t>Sharḥ al-Tashīl</w:t>
      </w:r>
      <w:r>
        <w:rPr>
          <w:i w:val="0"/>
          <w:sz w:val="22"/>
        </w:rPr>
        <w:t>, ed. ‘Alī Muḥammad Fākhir and Jābir Muḥammad Barāja, Cairo: Dār al-Salām, 1428 AH, vol. 5, p. 2457.</w:t>
      </w:r>
    </w:p>
    <w:p>
      <w:pPr>
        <w:pStyle w:val="ListNumber"/>
        <w:spacing w:after="60"/>
      </w:pPr>
      <w:r>
        <w:rPr>
          <w:i w:val="0"/>
          <w:sz w:val="22"/>
        </w:rPr>
        <w:t xml:space="preserve">Sībawayh, ‘Amr ibn ‘Uthmān (together with Yūsuf ibn Sulaymān al-A‘lam al-Shantamarī), </w:t>
      </w:r>
      <w:r>
        <w:rPr>
          <w:i/>
          <w:sz w:val="22"/>
        </w:rPr>
        <w:t>al-Kitāb</w:t>
      </w:r>
      <w:r>
        <w:rPr>
          <w:i w:val="0"/>
          <w:sz w:val="22"/>
        </w:rPr>
        <w:t>, Beirut: Mu’assasat al-A‘lamī li-l-Maṭbū‘āt, 1410 AH, vol. 2, 3rd printing.</w:t>
      </w:r>
    </w:p>
    <w:p>
      <w:pPr>
        <w:spacing w:after="120"/>
        <w:jc w:val="both"/>
      </w:pPr>
      <w:r>
        <w:rPr>
          <w:b w:val="0"/>
          <w:i w:val="0"/>
        </w:rPr>
        <w:t>In the works listed above, the section on numbers refers only to the method of forming ordinal numbers.</w:t>
      </w:r>
    </w:p>
    <w:p>
      <w:pPr>
        <w:pStyle w:val="Heading2"/>
      </w:pPr>
      <w:r>
        <w:t>3.2. Syntactic works</w:t>
      </w:r>
    </w:p>
    <w:p>
      <w:pPr>
        <w:pStyle w:val="ListNumber"/>
        <w:spacing w:after="60"/>
      </w:pPr>
      <w:r>
        <w:rPr>
          <w:i w:val="0"/>
          <w:sz w:val="22"/>
        </w:rPr>
        <w:t xml:space="preserve">Darwīsh, Muḥyī al-Dīn, </w:t>
      </w:r>
      <w:r>
        <w:rPr>
          <w:i/>
          <w:sz w:val="22"/>
        </w:rPr>
        <w:t>I‘rāb al-Qur’ān al-Karīm wa-Bayānuhu</w:t>
      </w:r>
      <w:r>
        <w:rPr>
          <w:i w:val="0"/>
          <w:sz w:val="22"/>
        </w:rPr>
        <w:t>, Damascus: Dār al-Yamāma, 1415 AH, vol. 4, p. 102, 4th printing.</w:t>
      </w:r>
    </w:p>
    <w:p>
      <w:pPr>
        <w:pStyle w:val="ListNumber"/>
        <w:spacing w:after="60"/>
      </w:pPr>
      <w:r>
        <w:rPr>
          <w:i w:val="0"/>
          <w:sz w:val="22"/>
        </w:rPr>
        <w:t xml:space="preserve">Ṣāfī, Maḥmūd, </w:t>
      </w:r>
      <w:r>
        <w:rPr>
          <w:i/>
          <w:sz w:val="22"/>
        </w:rPr>
        <w:t>al-Jadwal fī I‘rāb al-Qur’ān wa-Ṣarfihi wa-Bayānihi ma‘a Fawā’id Naḥwiyya Hāmma</w:t>
      </w:r>
      <w:r>
        <w:rPr>
          <w:i w:val="0"/>
          <w:sz w:val="22"/>
        </w:rPr>
        <w:t>, Damascus: Dār al-Rashīd, 1411 AH, vol. 10, p. 341.</w:t>
      </w:r>
    </w:p>
    <w:p>
      <w:pPr>
        <w:pStyle w:val="ListNumber"/>
        <w:spacing w:after="60"/>
      </w:pPr>
      <w:r>
        <w:rPr>
          <w:i w:val="0"/>
          <w:sz w:val="22"/>
        </w:rPr>
        <w:t xml:space="preserve">Ṣāfī, Maḥmūd, </w:t>
      </w:r>
      <w:r>
        <w:rPr>
          <w:i/>
          <w:sz w:val="22"/>
        </w:rPr>
        <w:t>al-Jadwal fī I‘rāb al-Qur’ān wa-Ṣarfihi wa-Bayānihi ma‘a Fawā’id Naḥwiyya Hāmma</w:t>
      </w:r>
      <w:r>
        <w:rPr>
          <w:i w:val="0"/>
          <w:sz w:val="22"/>
        </w:rPr>
        <w:t>, Damascus: Dār al-Rashīd, 1411 AH, vol. 6, p. 419.</w:t>
      </w:r>
    </w:p>
    <w:p>
      <w:pPr>
        <w:spacing w:after="120"/>
        <w:jc w:val="both"/>
      </w:pPr>
      <w:r>
        <w:t xml:space="preserve">The works listed above refer only to the grammatical parsing of the expressions </w:t>
      </w:r>
      <w:r>
        <w:rPr>
          <w:i/>
        </w:rPr>
        <w:t>thānī ithnayn</w:t>
      </w:r>
      <w:r>
        <w:t xml:space="preserve"> under verse 40 of Sūrat al-Tawba and </w:t>
      </w:r>
      <w:r>
        <w:rPr>
          <w:i/>
        </w:rPr>
        <w:t>thālith thalātha</w:t>
      </w:r>
      <w:r>
        <w:t xml:space="preserve"> (“the third of three”) under verse 73 of Sūrat al-Mā’ida.</w:t>
      </w:r>
    </w:p>
    <w:p>
      <w:pPr>
        <w:pStyle w:val="Heading2"/>
      </w:pPr>
      <w:r>
        <w:t>3.3. Lexical works</w:t>
      </w:r>
    </w:p>
    <w:p>
      <w:pPr>
        <w:pStyle w:val="ListNumber"/>
        <w:spacing w:after="60"/>
      </w:pPr>
      <w:r>
        <w:rPr>
          <w:i w:val="0"/>
          <w:sz w:val="22"/>
        </w:rPr>
        <w:t xml:space="preserve">Qurashī, ‘Alī Akbar, </w:t>
      </w:r>
      <w:r>
        <w:rPr>
          <w:i/>
          <w:sz w:val="22"/>
        </w:rPr>
        <w:t>Qāmūs-i Qur’ān</w:t>
      </w:r>
      <w:r>
        <w:rPr>
          <w:i w:val="0"/>
          <w:sz w:val="22"/>
        </w:rPr>
        <w:t>, Tehran: Dār al-Kutub al-Islāmiyya, 1371 SH, vol. 1, p. 319.</w:t>
      </w:r>
    </w:p>
    <w:p>
      <w:pPr>
        <w:pStyle w:val="ListNumber"/>
        <w:spacing w:after="60"/>
      </w:pPr>
      <w:r>
        <w:rPr>
          <w:i w:val="0"/>
          <w:sz w:val="22"/>
        </w:rPr>
        <w:t xml:space="preserve">Azharī, Muḥammad ibn Aḥmad, </w:t>
      </w:r>
      <w:r>
        <w:rPr>
          <w:i/>
          <w:sz w:val="22"/>
        </w:rPr>
        <w:t>Tahdhīb al-Lugha</w:t>
      </w:r>
      <w:r>
        <w:rPr>
          <w:i w:val="0"/>
          <w:sz w:val="22"/>
        </w:rPr>
        <w:t>, introduction by Fāṭima Muḥammad Aṣlān, ed. ‘Umar Salāmī and ‘Abd al-Karīm Ḥāmid, supervised by Muḥammad ‘Awaḍ Mur‘ib, Beirut: Dār Iḥyā’ al-Turāth al-‘Arabī, 1421 AH, vol. 15, p. 45.</w:t>
      </w:r>
    </w:p>
    <w:p>
      <w:pPr>
        <w:pStyle w:val="ListNumber"/>
        <w:spacing w:after="60"/>
      </w:pPr>
      <w:r>
        <w:rPr>
          <w:i w:val="0"/>
          <w:sz w:val="22"/>
        </w:rPr>
        <w:t xml:space="preserve">Ṭurayḥī, Fakhr al-Dīn ibn Muḥammad, </w:t>
      </w:r>
      <w:r>
        <w:rPr>
          <w:i/>
          <w:sz w:val="22"/>
        </w:rPr>
        <w:t>Majma‘ al-Baḥrayn</w:t>
      </w:r>
      <w:r>
        <w:rPr>
          <w:i w:val="0"/>
          <w:sz w:val="22"/>
        </w:rPr>
        <w:t>, ed. Aḥmad Ḥusaynī Ishkivarī, Tehran: Murtaḍavī Bookshop, 1375 SH, vol. 1, p. 73.</w:t>
      </w:r>
    </w:p>
    <w:p>
      <w:pPr>
        <w:spacing w:after="120"/>
        <w:jc w:val="both"/>
      </w:pPr>
      <w:r>
        <w:t xml:space="preserve">The works listed above refer only to the meanings of the expressions </w:t>
      </w:r>
      <w:r>
        <w:rPr>
          <w:i/>
        </w:rPr>
        <w:t>thānī ithnayn</w:t>
      </w:r>
      <w:r>
        <w:t xml:space="preserve"> under verse 40 of Sūrat al-Tawba and </w:t>
      </w:r>
      <w:r>
        <w:rPr>
          <w:i/>
        </w:rPr>
        <w:t>thālith thalātha</w:t>
      </w:r>
      <w:r>
        <w:t xml:space="preserve"> under verse 73 of Sūrat al-Mā’ida.</w:t>
      </w:r>
    </w:p>
    <w:p>
      <w:pPr>
        <w:pStyle w:val="Heading2"/>
      </w:pPr>
      <w:r>
        <w:t>3.4. Exegetical works</w:t>
      </w:r>
    </w:p>
    <w:p>
      <w:pPr>
        <w:pStyle w:val="ListNumber"/>
        <w:spacing w:after="60"/>
      </w:pPr>
      <w:r>
        <w:rPr>
          <w:i w:val="0"/>
          <w:sz w:val="22"/>
        </w:rPr>
        <w:t xml:space="preserve">Ṭabāṭabā’ī, Muḥammad Ḥusayn, </w:t>
      </w:r>
      <w:r>
        <w:rPr>
          <w:i/>
          <w:sz w:val="22"/>
        </w:rPr>
        <w:t>Tafsīr al-Mīzān</w:t>
      </w:r>
      <w:r>
        <w:rPr>
          <w:i w:val="0"/>
          <w:sz w:val="22"/>
        </w:rPr>
        <w:t xml:space="preserve"> (Persian translation), trans. Muḥammad Bāqir Mūsavī, Qom: Society of Seminary Teachers of Qom, Islamic Publications Office, 1378 SH, vol. 9, p. 374.</w:t>
      </w:r>
    </w:p>
    <w:p>
      <w:pPr>
        <w:spacing w:after="120"/>
        <w:jc w:val="both"/>
      </w:pPr>
      <w:r>
        <w:t xml:space="preserve">This work, too, refers only to the meaning of the expression </w:t>
      </w:r>
      <w:r>
        <w:rPr>
          <w:i/>
        </w:rPr>
        <w:t>thānī ithnayn</w:t>
      </w:r>
      <w:r>
        <w:t xml:space="preserve"> under verse 40 of Sūrat al-Tawba.</w:t>
      </w:r>
    </w:p>
    <w:p>
      <w:pPr>
        <w:pStyle w:val="Heading1"/>
      </w:pPr>
      <w:r>
        <w:t>4. Research Hypothesis</w:t>
      </w:r>
    </w:p>
    <w:p>
      <w:pPr>
        <w:spacing w:after="120"/>
        <w:jc w:val="both"/>
      </w:pPr>
      <w:r>
        <w:rPr>
          <w:b w:val="0"/>
          <w:i w:val="0"/>
        </w:rPr>
        <w:t>It appears that, given the various morphological structures, some of the proposed meanings are correct and some are incorrect. Taking into account this variation in morphological structures and meanings, numerous combinations are obtained, some of which are valid and some invalid.</w:t>
      </w:r>
    </w:p>
    <w:p>
      <w:pPr>
        <w:pStyle w:val="Heading1"/>
      </w:pPr>
      <w:r>
        <w:t>5. Main and Subsidiary Research Questions</w:t>
      </w:r>
    </w:p>
    <w:p>
      <w:pPr>
        <w:pStyle w:val="Heading2"/>
      </w:pPr>
      <w:r>
        <w:t>5.1. Main question</w:t>
      </w:r>
    </w:p>
    <w:p>
      <w:pPr>
        <w:pStyle w:val="ListBullet"/>
        <w:spacing w:after="120"/>
      </w:pPr>
      <w:r>
        <w:t xml:space="preserve">What is the literary analysis of </w:t>
      </w:r>
      <w:r>
        <w:rPr>
          <w:i/>
        </w:rPr>
        <w:t>thānī ithnayn</w:t>
      </w:r>
      <w:r>
        <w:t xml:space="preserve"> and similar numerical constructions?</w:t>
      </w:r>
    </w:p>
    <w:p>
      <w:pPr>
        <w:pStyle w:val="Heading2"/>
      </w:pPr>
      <w:r>
        <w:t>5.2. Subsidiary questions</w:t>
      </w:r>
    </w:p>
    <w:p>
      <w:pPr>
        <w:pStyle w:val="ListBullet"/>
        <w:spacing w:after="40"/>
      </w:pPr>
      <w:r>
        <w:t xml:space="preserve">What is the lexical analysis of </w:t>
      </w:r>
      <w:r>
        <w:rPr>
          <w:i/>
        </w:rPr>
        <w:t>thānī ithnayn</w:t>
      </w:r>
      <w:r>
        <w:t xml:space="preserve"> and similar numerical constructions?</w:t>
      </w:r>
    </w:p>
    <w:p>
      <w:pPr>
        <w:pStyle w:val="ListBullet"/>
        <w:spacing w:after="40"/>
      </w:pPr>
      <w:r>
        <w:t xml:space="preserve">What is the morphological analysis of </w:t>
      </w:r>
      <w:r>
        <w:rPr>
          <w:i/>
        </w:rPr>
        <w:t>thānī ithnayn</w:t>
      </w:r>
      <w:r>
        <w:t xml:space="preserve"> and similar numerical constructions?</w:t>
      </w:r>
    </w:p>
    <w:p>
      <w:pPr>
        <w:pStyle w:val="ListBullet"/>
        <w:spacing w:after="40"/>
      </w:pPr>
      <w:r>
        <w:t xml:space="preserve">What is the syntactic analysis of </w:t>
      </w:r>
      <w:r>
        <w:rPr>
          <w:i/>
        </w:rPr>
        <w:t>thānī ithnayn</w:t>
      </w:r>
      <w:r>
        <w:t xml:space="preserve"> and similar numerical constructions?</w:t>
      </w:r>
    </w:p>
    <w:p>
      <w:pPr>
        <w:pStyle w:val="Heading1"/>
      </w:pPr>
      <w:r>
        <w:t>6. Research Method</w:t>
      </w:r>
    </w:p>
    <w:p>
      <w:pPr>
        <w:spacing w:after="120"/>
        <w:jc w:val="both"/>
      </w:pPr>
      <w:r>
        <w:rPr>
          <w:b w:val="0"/>
          <w:i w:val="0"/>
        </w:rPr>
        <w:t>This study employs the library (documentary) method; its data have been gathered from authoritative lexical, morphological and syntactic reference works. A report on the collected material is then presented in a descriptive–analytical manner: first the meanings of the words, then the morphological structure of the expressions in question, and finally their syntactic structure are examined, after which the analyses are tested for validity.</w:t>
      </w:r>
    </w:p>
    <w:p>
      <w:pPr>
        <w:spacing w:after="120"/>
        <w:jc w:val="both"/>
      </w:pPr>
      <w:r>
        <w:rPr>
          <w:b w:val="0"/>
          <w:i w:val="0"/>
        </w:rPr>
        <w:t>This study is transmission-based (naqlī), in the sense that both the raw data and the analyses are drawn solely from the sources.</w:t>
      </w:r>
    </w:p>
    <w:p>
      <w:pPr>
        <w:pStyle w:val="Heading1"/>
      </w:pPr>
      <w:r>
        <w:t>7. Organisation of the Research (Chapters and Sub-chapters)</w:t>
      </w:r>
    </w:p>
    <w:p>
      <w:pPr>
        <w:pStyle w:val="ListBullet"/>
        <w:spacing w:after="40"/>
      </w:pPr>
      <w:r>
        <w:rPr>
          <w:b/>
        </w:rPr>
        <w:t>Abstract</w:t>
      </w:r>
    </w:p>
    <w:p>
      <w:pPr>
        <w:pStyle w:val="ListBullet"/>
        <w:spacing w:after="40"/>
      </w:pPr>
      <w:r>
        <w:rPr>
          <w:b/>
        </w:rPr>
        <w:t>Keywords</w:t>
      </w:r>
    </w:p>
    <w:p>
      <w:pPr>
        <w:pStyle w:val="ListNumber2"/>
        <w:spacing w:after="40"/>
      </w:pPr>
      <w:r>
        <w:t>Introduction</w:t>
      </w:r>
    </w:p>
    <w:p>
      <w:pPr>
        <w:pStyle w:val="ListNumber2"/>
        <w:spacing w:after="40"/>
      </w:pPr>
      <w:r>
        <w:t xml:space="preserve">Conceptual clarification of the construction </w:t>
      </w:r>
      <w:r>
        <w:rPr>
          <w:i/>
        </w:rPr>
        <w:t>thānī ithnayn</w:t>
      </w:r>
      <w:r>
        <w:t xml:space="preserve"> and the like</w:t>
      </w:r>
    </w:p>
    <w:p>
      <w:pPr>
        <w:pStyle w:val="ListNumber2"/>
        <w:spacing w:after="40"/>
      </w:pPr>
      <w:r>
        <w:t xml:space="preserve">Semantic analysis of the construction </w:t>
      </w:r>
      <w:r>
        <w:rPr>
          <w:i/>
        </w:rPr>
        <w:t>thānī ithnayn</w:t>
      </w:r>
      <w:r>
        <w:t xml:space="preserve"> and the like</w:t>
      </w:r>
    </w:p>
    <w:p>
      <w:pPr>
        <w:pStyle w:val="ListNumber2"/>
        <w:spacing w:after="40"/>
      </w:pPr>
      <w:r>
        <w:t xml:space="preserve">Morphological structure of the construction </w:t>
      </w:r>
      <w:r>
        <w:rPr>
          <w:i/>
        </w:rPr>
        <w:t>thānī ithnayn</w:t>
      </w:r>
      <w:r>
        <w:t xml:space="preserve"> and the like</w:t>
      </w:r>
    </w:p>
    <w:p>
      <w:pPr>
        <w:pStyle w:val="ListNumber2"/>
        <w:spacing w:after="40"/>
      </w:pPr>
      <w:r>
        <w:t xml:space="preserve">Syntactic structure of the construction </w:t>
      </w:r>
      <w:r>
        <w:rPr>
          <w:i/>
        </w:rPr>
        <w:t>thānī ithnayn</w:t>
      </w:r>
      <w:r>
        <w:t xml:space="preserve"> and the like</w:t>
      </w:r>
    </w:p>
    <w:p>
      <w:pPr>
        <w:pStyle w:val="ListNumber2"/>
        <w:spacing w:after="40"/>
      </w:pPr>
      <w:r>
        <w:t>Conclusion</w:t>
      </w:r>
    </w:p>
    <w:p>
      <w:pPr>
        <w:pStyle w:val="ListNumber2"/>
        <w:spacing w:after="40"/>
      </w:pPr>
      <w:r>
        <w:t>Bibliography</w:t>
      </w:r>
    </w:p>
    <w:p>
      <w:pPr>
        <w:pStyle w:val="Heading1"/>
      </w:pPr>
      <w:r>
        <w:t>8. Research Sources</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tblHeader w:val="true"/>
        </w:trPr>
        <w:tc>
          <w:tcPr>
            <w:tcW w:type="dxa" w:w="624"/>
            <w:shd w:val="clear" w:color="auto" w:fill="D9E2F3"/>
          </w:tcPr>
          <w:p>
            <w:pPr>
              <w:jc w:val="center"/>
            </w:pPr>
            <w:r/>
            <w:r>
              <w:rPr>
                <w:b/>
                <w:sz w:val="19"/>
              </w:rPr>
              <w:t>No.</w:t>
            </w:r>
          </w:p>
        </w:tc>
        <w:tc>
          <w:tcPr>
            <w:tcW w:type="dxa" w:w="2948"/>
            <w:shd w:val="clear" w:color="auto" w:fill="D9E2F3"/>
          </w:tcPr>
          <w:p>
            <w:pPr>
              <w:jc w:val="center"/>
            </w:pPr>
            <w:r/>
            <w:r>
              <w:rPr>
                <w:b/>
                <w:sz w:val="19"/>
              </w:rPr>
              <w:t>Title of Book / Article / Thesis</w:t>
            </w:r>
          </w:p>
        </w:tc>
        <w:tc>
          <w:tcPr>
            <w:tcW w:type="dxa" w:w="2041"/>
            <w:shd w:val="clear" w:color="auto" w:fill="D9E2F3"/>
          </w:tcPr>
          <w:p>
            <w:pPr>
              <w:jc w:val="center"/>
            </w:pPr>
            <w:r/>
            <w:r>
              <w:rPr>
                <w:b/>
                <w:sz w:val="19"/>
              </w:rPr>
              <w:t>Author</w:t>
            </w:r>
          </w:p>
        </w:tc>
        <w:tc>
          <w:tcPr>
            <w:tcW w:type="dxa" w:w="1077"/>
            <w:shd w:val="clear" w:color="auto" w:fill="D9E2F3"/>
          </w:tcPr>
          <w:p>
            <w:pPr>
              <w:jc w:val="center"/>
            </w:pPr>
            <w:r/>
            <w:r>
              <w:rPr>
                <w:b/>
                <w:sz w:val="19"/>
              </w:rPr>
              <w:t>Translator</w:t>
            </w:r>
          </w:p>
        </w:tc>
        <w:tc>
          <w:tcPr>
            <w:tcW w:type="dxa" w:w="1134"/>
            <w:shd w:val="clear" w:color="auto" w:fill="D9E2F3"/>
          </w:tcPr>
          <w:p>
            <w:pPr>
              <w:jc w:val="center"/>
            </w:pPr>
            <w:r/>
            <w:r>
              <w:rPr>
                <w:b/>
                <w:sz w:val="19"/>
              </w:rPr>
              <w:t>Place of Publication</w:t>
            </w:r>
          </w:p>
        </w:tc>
        <w:tc>
          <w:tcPr>
            <w:tcW w:type="dxa" w:w="1474"/>
            <w:shd w:val="clear" w:color="auto" w:fill="D9E2F3"/>
          </w:tcPr>
          <w:p>
            <w:pPr>
              <w:jc w:val="center"/>
            </w:pPr>
            <w:r/>
            <w:r>
              <w:rPr>
                <w:b/>
                <w:sz w:val="19"/>
              </w:rPr>
              <w:t>Publisher</w:t>
            </w:r>
          </w:p>
        </w:tc>
        <w:tc>
          <w:tcPr>
            <w:tcW w:type="dxa" w:w="907"/>
            <w:shd w:val="clear" w:color="auto" w:fill="D9E2F3"/>
          </w:tcPr>
          <w:p>
            <w:pPr>
              <w:jc w:val="center"/>
            </w:pPr>
            <w:r/>
            <w:r>
              <w:rPr>
                <w:b/>
                <w:sz w:val="19"/>
              </w:rPr>
              <w:t>Year</w:t>
            </w:r>
          </w:p>
        </w:tc>
      </w:tr>
      <w:tr>
        <w:tc>
          <w:tcPr>
            <w:tcW w:type="dxa" w:w="624"/>
          </w:tcPr>
          <w:p>
            <w:pPr>
              <w:jc w:val="center"/>
            </w:pPr>
            <w:r/>
            <w:r>
              <w:rPr>
                <w:sz w:val="19"/>
              </w:rPr>
              <w:t>1</w:t>
            </w:r>
          </w:p>
        </w:tc>
        <w:tc>
          <w:tcPr>
            <w:tcW w:type="dxa" w:w="2948"/>
          </w:tcPr>
          <w:p>
            <w:r/>
            <w:r>
              <w:rPr>
                <w:i/>
                <w:sz w:val="19"/>
              </w:rPr>
              <w:t>Awḍaḥ al-Masālik ilā Alfiyyat Ibn Mālik</w:t>
            </w:r>
          </w:p>
        </w:tc>
        <w:tc>
          <w:tcPr>
            <w:tcW w:type="dxa" w:w="2041"/>
          </w:tcPr>
          <w:p>
            <w:r/>
            <w:r>
              <w:rPr>
                <w:sz w:val="19"/>
              </w:rPr>
              <w:t>Ibn Hishām, ‘Abd Allāh ibn Yūsuf</w:t>
            </w:r>
          </w:p>
        </w:tc>
        <w:tc>
          <w:tcPr>
            <w:tcW w:type="dxa" w:w="1077"/>
          </w:tcPr>
          <w:p>
            <w:r/>
            <w:r>
              <w:rPr>
                <w:sz w:val="19"/>
              </w:rPr>
            </w:r>
          </w:p>
        </w:tc>
        <w:tc>
          <w:tcPr>
            <w:tcW w:type="dxa" w:w="1134"/>
          </w:tcPr>
          <w:p>
            <w:r/>
            <w:r>
              <w:rPr>
                <w:sz w:val="19"/>
              </w:rPr>
              <w:t>Beirut</w:t>
            </w:r>
          </w:p>
        </w:tc>
        <w:tc>
          <w:tcPr>
            <w:tcW w:type="dxa" w:w="1474"/>
          </w:tcPr>
          <w:p>
            <w:r/>
            <w:r>
              <w:rPr>
                <w:sz w:val="19"/>
              </w:rPr>
              <w:t>al-Maktaba al-‘Aṣriyya</w:t>
            </w:r>
          </w:p>
        </w:tc>
        <w:tc>
          <w:tcPr>
            <w:tcW w:type="dxa" w:w="907"/>
          </w:tcPr>
          <w:p>
            <w:pPr>
              <w:jc w:val="center"/>
            </w:pPr>
            <w:r/>
            <w:r>
              <w:rPr>
                <w:sz w:val="19"/>
              </w:rPr>
              <w:t>1429 AH</w:t>
            </w:r>
          </w:p>
        </w:tc>
      </w:tr>
      <w:tr>
        <w:tc>
          <w:tcPr>
            <w:tcW w:type="dxa" w:w="624"/>
          </w:tcPr>
          <w:p>
            <w:pPr>
              <w:jc w:val="center"/>
            </w:pPr>
            <w:r/>
            <w:r>
              <w:rPr>
                <w:sz w:val="19"/>
              </w:rPr>
              <w:t>2</w:t>
            </w:r>
          </w:p>
        </w:tc>
        <w:tc>
          <w:tcPr>
            <w:tcW w:type="dxa" w:w="2948"/>
          </w:tcPr>
          <w:p>
            <w:r/>
            <w:r>
              <w:rPr>
                <w:i/>
                <w:sz w:val="19"/>
              </w:rPr>
              <w:t>Sharḥ Ibn ‘Aqīl</w:t>
            </w:r>
          </w:p>
        </w:tc>
        <w:tc>
          <w:tcPr>
            <w:tcW w:type="dxa" w:w="2041"/>
          </w:tcPr>
          <w:p>
            <w:r/>
            <w:r>
              <w:rPr>
                <w:sz w:val="19"/>
              </w:rPr>
              <w:t>Ibn ‘Aqīl, ‘Abd Allāh ibn ‘Abd al-Raḥmān</w:t>
            </w:r>
          </w:p>
        </w:tc>
        <w:tc>
          <w:tcPr>
            <w:tcW w:type="dxa" w:w="1077"/>
          </w:tcPr>
          <w:p>
            <w:r/>
            <w:r>
              <w:rPr>
                <w:sz w:val="19"/>
              </w:rPr>
            </w:r>
          </w:p>
        </w:tc>
        <w:tc>
          <w:tcPr>
            <w:tcW w:type="dxa" w:w="1134"/>
          </w:tcPr>
          <w:p>
            <w:r/>
            <w:r>
              <w:rPr>
                <w:sz w:val="19"/>
              </w:rPr>
              <w:t>[n.p.]</w:t>
            </w:r>
          </w:p>
        </w:tc>
        <w:tc>
          <w:tcPr>
            <w:tcW w:type="dxa" w:w="1474"/>
          </w:tcPr>
          <w:p>
            <w:r/>
            <w:r>
              <w:rPr>
                <w:sz w:val="19"/>
              </w:rPr>
              <w:t>[n.pub.]</w:t>
            </w:r>
          </w:p>
        </w:tc>
        <w:tc>
          <w:tcPr>
            <w:tcW w:type="dxa" w:w="907"/>
          </w:tcPr>
          <w:p>
            <w:pPr>
              <w:jc w:val="center"/>
            </w:pPr>
            <w:r/>
            <w:r>
              <w:rPr>
                <w:sz w:val="19"/>
              </w:rPr>
            </w:r>
          </w:p>
        </w:tc>
      </w:tr>
      <w:tr>
        <w:tc>
          <w:tcPr>
            <w:tcW w:type="dxa" w:w="624"/>
          </w:tcPr>
          <w:p>
            <w:pPr>
              <w:jc w:val="center"/>
            </w:pPr>
            <w:r/>
            <w:r>
              <w:rPr>
                <w:sz w:val="19"/>
              </w:rPr>
              <w:t>3</w:t>
            </w:r>
          </w:p>
        </w:tc>
        <w:tc>
          <w:tcPr>
            <w:tcW w:type="dxa" w:w="2948"/>
          </w:tcPr>
          <w:p>
            <w:r/>
            <w:r>
              <w:rPr>
                <w:i/>
                <w:sz w:val="19"/>
              </w:rPr>
              <w:t>Sharḥ al-Taṣrīḥ ‘alā al-Tawḍīḥ of Ibn Mālik on Syntax and Morphology, by Shaykh Abū Muḥammad ‘Abd Allāh ibn Yūsuf ibn Hishām al-Anṣārī</w:t>
            </w:r>
          </w:p>
        </w:tc>
        <w:tc>
          <w:tcPr>
            <w:tcW w:type="dxa" w:w="2041"/>
          </w:tcPr>
          <w:p>
            <w:r/>
            <w:r>
              <w:rPr>
                <w:sz w:val="19"/>
              </w:rPr>
              <w:t>Azharī, Khālid ibn ‘Abd Allāh</w:t>
            </w:r>
          </w:p>
        </w:tc>
        <w:tc>
          <w:tcPr>
            <w:tcW w:type="dxa" w:w="1077"/>
          </w:tcPr>
          <w:p>
            <w:r/>
            <w:r>
              <w:rPr>
                <w:sz w:val="19"/>
              </w:rPr>
            </w:r>
          </w:p>
        </w:tc>
        <w:tc>
          <w:tcPr>
            <w:tcW w:type="dxa" w:w="1134"/>
          </w:tcPr>
          <w:p>
            <w:r/>
            <w:r>
              <w:rPr>
                <w:sz w:val="19"/>
              </w:rPr>
              <w:t>Beirut</w:t>
            </w:r>
          </w:p>
        </w:tc>
        <w:tc>
          <w:tcPr>
            <w:tcW w:type="dxa" w:w="1474"/>
          </w:tcPr>
          <w:p>
            <w:r/>
            <w:r>
              <w:rPr>
                <w:sz w:val="19"/>
              </w:rPr>
              <w:t>Dār al-Fikr</w:t>
            </w:r>
          </w:p>
        </w:tc>
        <w:tc>
          <w:tcPr>
            <w:tcW w:type="dxa" w:w="907"/>
          </w:tcPr>
          <w:p>
            <w:pPr>
              <w:jc w:val="center"/>
            </w:pPr>
            <w:r/>
            <w:r>
              <w:rPr>
                <w:sz w:val="19"/>
              </w:rPr>
            </w:r>
          </w:p>
        </w:tc>
      </w:tr>
      <w:tr>
        <w:tc>
          <w:tcPr>
            <w:tcW w:type="dxa" w:w="624"/>
          </w:tcPr>
          <w:p>
            <w:pPr>
              <w:jc w:val="center"/>
            </w:pPr>
            <w:r/>
            <w:r>
              <w:rPr>
                <w:sz w:val="19"/>
              </w:rPr>
              <w:t>4</w:t>
            </w:r>
          </w:p>
        </w:tc>
        <w:tc>
          <w:tcPr>
            <w:tcW w:type="dxa" w:w="2948"/>
          </w:tcPr>
          <w:p>
            <w:r/>
            <w:r>
              <w:rPr>
                <w:i/>
                <w:sz w:val="19"/>
              </w:rPr>
              <w:t>al-Naḥw al-‘Arabī</w:t>
            </w:r>
          </w:p>
        </w:tc>
        <w:tc>
          <w:tcPr>
            <w:tcW w:type="dxa" w:w="2041"/>
          </w:tcPr>
          <w:p>
            <w:r/>
            <w:r>
              <w:rPr>
                <w:sz w:val="19"/>
              </w:rPr>
              <w:t>Barakāt, Ibrāhīm Ibrāhīm</w:t>
            </w:r>
          </w:p>
        </w:tc>
        <w:tc>
          <w:tcPr>
            <w:tcW w:type="dxa" w:w="1077"/>
          </w:tcPr>
          <w:p>
            <w:r/>
            <w:r>
              <w:rPr>
                <w:sz w:val="19"/>
              </w:rPr>
            </w:r>
          </w:p>
        </w:tc>
        <w:tc>
          <w:tcPr>
            <w:tcW w:type="dxa" w:w="1134"/>
          </w:tcPr>
          <w:p>
            <w:r/>
            <w:r>
              <w:rPr>
                <w:sz w:val="19"/>
              </w:rPr>
              <w:t>Cairo</w:t>
            </w:r>
          </w:p>
        </w:tc>
        <w:tc>
          <w:tcPr>
            <w:tcW w:type="dxa" w:w="1474"/>
          </w:tcPr>
          <w:p>
            <w:r/>
            <w:r>
              <w:rPr>
                <w:sz w:val="19"/>
              </w:rPr>
              <w:t>Dār al-Nashr li-l-Jāmi‘āt</w:t>
            </w:r>
          </w:p>
        </w:tc>
        <w:tc>
          <w:tcPr>
            <w:tcW w:type="dxa" w:w="907"/>
          </w:tcPr>
          <w:p>
            <w:pPr>
              <w:jc w:val="center"/>
            </w:pPr>
            <w:r/>
            <w:r>
              <w:rPr>
                <w:sz w:val="19"/>
              </w:rPr>
              <w:t>1428 AH</w:t>
            </w:r>
          </w:p>
        </w:tc>
      </w:tr>
      <w:tr>
        <w:tc>
          <w:tcPr>
            <w:tcW w:type="dxa" w:w="624"/>
          </w:tcPr>
          <w:p>
            <w:pPr>
              <w:jc w:val="center"/>
            </w:pPr>
            <w:r/>
            <w:r>
              <w:rPr>
                <w:sz w:val="19"/>
              </w:rPr>
              <w:t>5</w:t>
            </w:r>
          </w:p>
        </w:tc>
        <w:tc>
          <w:tcPr>
            <w:tcW w:type="dxa" w:w="2948"/>
          </w:tcPr>
          <w:p>
            <w:r/>
            <w:r>
              <w:rPr>
                <w:i/>
                <w:sz w:val="19"/>
              </w:rPr>
              <w:t>Kitāb al-Mudhakkar wa-l-Mu’annath</w:t>
            </w:r>
          </w:p>
        </w:tc>
        <w:tc>
          <w:tcPr>
            <w:tcW w:type="dxa" w:w="2041"/>
          </w:tcPr>
          <w:p>
            <w:r/>
            <w:r>
              <w:rPr>
                <w:sz w:val="19"/>
              </w:rPr>
              <w:t>Ibn al-Anbārī, Muḥammad ibn Qāsim</w:t>
            </w:r>
          </w:p>
        </w:tc>
        <w:tc>
          <w:tcPr>
            <w:tcW w:type="dxa" w:w="1077"/>
          </w:tcPr>
          <w:p>
            <w:r/>
            <w:r>
              <w:rPr>
                <w:sz w:val="19"/>
              </w:rPr>
            </w:r>
          </w:p>
        </w:tc>
        <w:tc>
          <w:tcPr>
            <w:tcW w:type="dxa" w:w="1134"/>
          </w:tcPr>
          <w:p>
            <w:r/>
            <w:r>
              <w:rPr>
                <w:sz w:val="19"/>
              </w:rPr>
              <w:t>Beirut</w:t>
            </w:r>
          </w:p>
        </w:tc>
        <w:tc>
          <w:tcPr>
            <w:tcW w:type="dxa" w:w="1474"/>
          </w:tcPr>
          <w:p>
            <w:r/>
            <w:r>
              <w:rPr>
                <w:sz w:val="19"/>
              </w:rPr>
              <w:t>Dār al-Rā’id al-‘Arabī</w:t>
            </w:r>
          </w:p>
        </w:tc>
        <w:tc>
          <w:tcPr>
            <w:tcW w:type="dxa" w:w="907"/>
          </w:tcPr>
          <w:p>
            <w:pPr>
              <w:jc w:val="center"/>
            </w:pPr>
            <w:r/>
            <w:r>
              <w:rPr>
                <w:sz w:val="19"/>
              </w:rPr>
              <w:t>1406 AH</w:t>
            </w:r>
          </w:p>
        </w:tc>
      </w:tr>
    </w:tbl>
    <w:p>
      <w:pPr>
        <w:spacing w:after="160"/>
      </w:pPr>
    </w:p>
    <w:p>
      <w:pPr>
        <w:pStyle w:val="Heading1"/>
      </w:pPr>
      <w:r>
        <w:t>Supervisor’s Approval</w:t>
      </w:r>
    </w:p>
    <w:p>
      <w:pPr>
        <w:spacing w:after="120"/>
        <w:jc w:val="both"/>
      </w:pPr>
      <w:r>
        <w:rPr>
          <w:b w:val="0"/>
          <w:i w:val="0"/>
        </w:rPr>
        <w:t>I, the undersigned, .........................................., hereby approve the final research proposal of Mr. ........................................................</w:t>
      </w:r>
    </w:p>
    <w:p>
      <w:pPr>
        <w:spacing w:after="120"/>
        <w:jc w:val="both"/>
      </w:pPr>
      <w:r>
        <w:rPr>
          <w:b w:val="0"/>
          <w:i w:val="0"/>
        </w:rPr>
        <w:t>entitled: ...............................................................................................</w:t>
      </w:r>
    </w:p>
    <w:p>
      <w:pPr>
        <w:spacing w:after="240"/>
      </w:pPr>
      <w:r>
        <w:t xml:space="preserve">Date:      /       /               </w:t>
      </w:r>
      <w:r>
        <w:tab/>
        <w:tab/>
        <w:tab/>
        <w:tab/>
      </w:r>
      <w:r>
        <w:t>Signature: ..........................</w:t>
      </w:r>
    </w:p>
    <w:p>
      <w:pPr>
        <w:pStyle w:val="Heading1"/>
      </w:pPr>
      <w:r>
        <w:t>Supplementary Remarks of the Academic–Educational Department for Improving the Research Proposal</w:t>
      </w:r>
    </w:p>
    <w:p>
      <w:pPr>
        <w:spacing w:after="240"/>
      </w:pPr>
      <w:r>
        <w:rPr>
          <w:b w:val="0"/>
          <w:i w:val="0"/>
        </w:rPr>
        <w:t>..................................................................................................................................</w:t>
        <w:br/>
        <w:t>..................................................................................................................................</w:t>
        <w:br/>
        <w:t>..................................................................................................................................</w:t>
        <w:br/>
        <w:t>..................................................................................................................................</w:t>
        <w:br/>
        <w:t>..................................................................................................................................</w:t>
        <w:br/>
        <w:t>..................................................................................................................................</w:t>
      </w:r>
    </w:p>
    <w:p>
      <w:pPr>
        <w:pStyle w:val="Heading1"/>
      </w:pPr>
      <w:r>
        <w:t>Opinion of the Academic–Educational Department on the Research Proposal</w:t>
      </w:r>
    </w:p>
    <w:p>
      <w:pPr>
        <w:spacing w:after="120"/>
        <w:jc w:val="both"/>
      </w:pPr>
      <w:r>
        <w:rPr>
          <w:b w:val="0"/>
          <w:i w:val="0"/>
        </w:rPr>
        <w:t>The proposed research plan was examined at the meeting held on ............................ and the result is as follows:</w:t>
      </w:r>
    </w:p>
    <w:p>
      <w:pPr>
        <w:spacing w:after="240"/>
        <w:jc w:val="center"/>
      </w:pPr>
      <w:r>
        <w:rPr>
          <w:sz w:val="26"/>
        </w:rPr>
        <w:t xml:space="preserve">☐ </w:t>
      </w:r>
      <w:r>
        <w:rPr>
          <w:b/>
        </w:rPr>
        <w:t>Approved</w:t>
      </w:r>
      <w:r>
        <w:t xml:space="preserve">          </w:t>
      </w:r>
      <w:r>
        <w:rPr>
          <w:sz w:val="26"/>
        </w:rPr>
        <w:t xml:space="preserve">☐ </w:t>
      </w:r>
      <w:r>
        <w:rPr>
          <w:b/>
        </w:rPr>
        <w:t>Requires revision</w:t>
      </w:r>
      <w:r>
        <w:t xml:space="preserve">          </w:t>
      </w:r>
      <w:r>
        <w:rPr>
          <w:sz w:val="26"/>
        </w:rPr>
        <w:t xml:space="preserve">☐ </w:t>
      </w:r>
      <w:r>
        <w:rPr>
          <w:b/>
        </w:rPr>
        <w:t>Rejected</w:t>
      </w:r>
      <w:r>
        <w:t xml:space="preserve">          </w:t>
      </w:r>
    </w:p>
    <w:p>
      <w:pPr>
        <w:spacing w:after="160"/>
      </w:pPr>
      <w:r>
        <w:rPr>
          <w:b/>
        </w:rPr>
        <w:t>Signatures of the members of the Academic–Educational Department:</w:t>
      </w:r>
      <w:r>
        <w:t xml:space="preserve">        Date:        /          /          </w:t>
      </w:r>
    </w:p>
    <w:tbl>
      <w:tblPr>
        <w:tblW w:type="auto" w:w="0"/>
        <w:jc w:val="center"/>
        <w:tblLook w:firstColumn="1" w:firstRow="1" w:lastColumn="0" w:lastRow="0" w:noHBand="0" w:noVBand="1" w:val="04A0"/>
      </w:tblPr>
      <w:tblGrid>
        <w:gridCol w:w="4946"/>
        <w:gridCol w:w="4946"/>
      </w:tblGrid>
      <w:tr>
        <w:tc>
          <w:tcPr>
            <w:tcW w:type="dxa" w:w="4946"/>
          </w:tcPr>
          <w:p>
            <w:r/>
            <w:r>
              <w:rPr>
                <w:b/>
              </w:rPr>
              <w:t>Head of Department,</w:t>
            </w:r>
          </w:p>
        </w:tc>
        <w:tc>
          <w:tcPr>
            <w:tcW w:type="dxa" w:w="4946"/>
          </w:tcPr>
          <w:p>
            <w:r/>
            <w:r>
              <w:rPr>
                <w:b/>
              </w:rPr>
              <w:t>Secretary of Department,</w:t>
            </w:r>
          </w:p>
        </w:tc>
      </w:tr>
      <w:tr>
        <w:tc>
          <w:tcPr>
            <w:tcW w:type="dxa" w:w="4946"/>
          </w:tcPr>
          <w:p>
            <w:pPr>
              <w:spacing w:after="200"/>
            </w:pPr>
            <w:r/>
            <w:r>
              <w:t>Full name / Signature: ....................................</w:t>
            </w:r>
          </w:p>
        </w:tc>
        <w:tc>
          <w:tcPr>
            <w:tcW w:type="dxa" w:w="4946"/>
          </w:tcPr>
          <w:p>
            <w:pPr>
              <w:spacing w:after="200"/>
            </w:pPr>
            <w:r/>
            <w:r>
              <w:t>Full name / Signature: ....................................</w:t>
            </w:r>
          </w:p>
        </w:tc>
      </w:tr>
      <w:tr>
        <w:tc>
          <w:tcPr>
            <w:tcW w:type="dxa" w:w="4946"/>
          </w:tcPr>
          <w:p>
            <w:pPr>
              <w:spacing w:after="200"/>
            </w:pPr>
            <w:r/>
            <w:r>
              <w:t>Full name / Signature: ....................................</w:t>
            </w:r>
          </w:p>
        </w:tc>
        <w:tc>
          <w:tcPr>
            <w:tcW w:type="dxa" w:w="4946"/>
          </w:tcPr>
          <w:p>
            <w:pPr>
              <w:spacing w:after="200"/>
            </w:pPr>
            <w:r/>
            <w:r>
              <w:t>Full name / Signature: ....................................</w:t>
            </w:r>
          </w:p>
        </w:tc>
      </w:tr>
      <w:tr>
        <w:tc>
          <w:tcPr>
            <w:tcW w:type="dxa" w:w="4946"/>
          </w:tcPr>
          <w:p>
            <w:pPr>
              <w:spacing w:after="200"/>
            </w:pPr>
            <w:r/>
            <w:r>
              <w:t>Full name / Signature: ....................................</w:t>
            </w:r>
          </w:p>
        </w:tc>
        <w:tc>
          <w:tcPr>
            <w:tcW w:type="dxa" w:w="4946"/>
          </w:tcPr>
          <w:p>
            <w:pPr>
              <w:spacing w:after="200"/>
            </w:pPr>
            <w:r/>
            <w:r>
              <w:t>Full name / Signature: ....................................</w:t>
            </w:r>
          </w:p>
        </w:tc>
      </w:tr>
    </w:tbl>
    <w:sectPr w:rsidR="00FC693F" w:rsidRPr="0006063C" w:rsidSect="00034616">
      <w:footerReference w:type="default" r:id="rId9"/>
      <w:pgSz w:w="11906" w:h="16838"/>
      <w:pgMar w:top="1440" w:right="1106" w:bottom="1440" w:left="907" w:header="720" w:footer="624" w:gutter="0"/>
      <w:cols w:space="720"/>
      <w:docGrid w:linePitch="360"/>
      <w:pgBorders w:offsetFrom="page">
        <w:top w:val="thinThickSmallGap" w:sz="24" w:space="15" w:color="auto"/>
        <w:left w:val="thinThickSmallGap" w:sz="24" w:space="15" w:color="auto"/>
        <w:bottom w:val="thickThinSmallGap" w:sz="24" w:space="15" w:color="auto"/>
        <w:right w:val="thickThinSmallGap" w:sz="24" w:space="15"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Page </w:t>
    </w:r>
    <w:r>
      <w:rPr>
        <w:sz w:val="20"/>
      </w:rPr>
      <w:fldChar w:fldCharType="begin"/>
      <w:instrText xml:space="preserve"> PAGE </w:instrText>
      <w:fldChar w:fldCharType="separate"/>
      <w:fldChar w:fldCharType="end"/>
    </w:r>
    <w:r>
      <w:rPr>
        <w:sz w:val="20"/>
      </w:rPr>
      <w:t xml:space="preserve"> of </w:t>
    </w:r>
    <w:r>
      <w:rPr>
        <w:sz w:val="20"/>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cs="Calibri" w:eastAsia="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cs="Calibri" w:eastAsia="Calibri"/>
      <w:b/>
      <w:bCs/>
      <w:color w:val="2E53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Research Proposal (Appendix 2) – English translation</dc:title>
  <dc:subject/>
  <dc:creator>Mohammad Amin Sedghi</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