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BUSINESS INSIGHT</w:t>
        <w:br/>
        <w:t>RETAIL STORE SALES ANALYSIS</w:t>
      </w:r>
    </w:p>
    <w:p>
      <w:pPr>
        <w:jc w:val="center"/>
      </w:pPr>
      <w:r>
        <w:rPr>
          <w:i/>
        </w:rPr>
        <w:t>Analisis setelah Data Cleaning dan Exploratory Data Analysis</w:t>
      </w:r>
    </w:p>
    <w:p>
      <w:pPr>
        <w:pStyle w:val="Heading1"/>
      </w:pPr>
      <w:r>
        <w:t>1. Executive Summary</w:t>
      </w:r>
    </w:p>
    <w:p>
      <w:r>
        <w:t>Analisis menggunakan 11.362 transaksi retail yang telah melalui data cleaning, dengan periode 1 Januari 2022–18 Januari 2025. Total revenue mencapai $1.472.998,50, quantity 62.889 unit, 25 customer unik, dan average transaction $129,64.</w:t>
      </w:r>
    </w:p>
    <w:p>
      <w:r>
        <w:t>Temuan utama menunjukkan bahwa volume penjualan tidak selalu sejalan dengan revenue. Item_2_BEV memiliki quantity tertinggi, sedangkan Item_25_FUR menghasilkan revenue tertinggi. Kategori Butchers menjadi revenue leader, Online sedikit unggul atas In-store, dan seluruh customer pada dataset merupakan repeat customer.</w:t>
      </w:r>
    </w:p>
    <w:p>
      <w:r>
        <w:t>Analisis juga menunjukkan weekend memiliki average transaction sedikit lebih tinggi daripada weekday, tetapi weekday menghasilkan revenue total lebih besar karena jumlah transaksi lebih banyak. Discount belum dapat dinilai efektivitasnya hanya dari AOV, sementara outlier yang ditemukan valid secara matematis dan tidak seharusnya dihapus otomatis.</w:t>
      </w:r>
    </w:p>
    <w:p>
      <w:pPr>
        <w:pStyle w:val="Heading1"/>
      </w:pPr>
      <w:r>
        <w:t>2. Ringkasan Data Analisis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b/>
              </w:rPr>
              <w:t>Metric</w:t>
            </w:r>
          </w:p>
        </w:tc>
        <w:tc>
          <w:tcPr>
            <w:tcW w:type="dxa" w:w="4968"/>
            <w:vAlign w:val="center"/>
            <w:shd w:fill="D9EAF7"/>
          </w:tcPr>
          <w:p>
            <w:pPr>
              <w:spacing w:after="0"/>
            </w:pPr>
            <w:r/>
            <w:r>
              <w:rPr>
                <w:b/>
              </w:rPr>
              <w:t>Value</w:t>
            </w:r>
          </w:p>
        </w:tc>
      </w:tr>
      <w:tr>
        <w:tc>
          <w:tcPr>
            <w:tcW w:type="dxa" w:w="4968"/>
            <w:vAlign w:val="center"/>
          </w:tcPr>
          <w:p>
            <w:pPr>
              <w:spacing w:after="0"/>
            </w:pPr>
            <w:r/>
            <w:r>
              <w:rPr>
                <w:b w:val="0"/>
              </w:rPr>
              <w:t>Transaksi setelah cleaning</w:t>
            </w:r>
          </w:p>
        </w:tc>
        <w:tc>
          <w:tcPr>
            <w:tcW w:type="dxa" w:w="4968"/>
            <w:vAlign w:val="center"/>
          </w:tcPr>
          <w:p>
            <w:pPr>
              <w:spacing w:after="0"/>
            </w:pPr>
            <w:r/>
            <w:r>
              <w:rPr>
                <w:b w:val="0"/>
              </w:rPr>
              <w:t>11.362</w:t>
            </w:r>
          </w:p>
        </w:tc>
      </w:tr>
      <w:tr>
        <w:tc>
          <w:tcPr>
            <w:tcW w:type="dxa" w:w="4968"/>
            <w:vAlign w:val="center"/>
          </w:tcPr>
          <w:p>
            <w:pPr>
              <w:spacing w:after="0"/>
            </w:pPr>
            <w:r/>
            <w:r>
              <w:rPr>
                <w:b w:val="0"/>
              </w:rPr>
              <w:t>Periode</w:t>
            </w:r>
          </w:p>
        </w:tc>
        <w:tc>
          <w:tcPr>
            <w:tcW w:type="dxa" w:w="4968"/>
            <w:vAlign w:val="center"/>
          </w:tcPr>
          <w:p>
            <w:pPr>
              <w:spacing w:after="0"/>
            </w:pPr>
            <w:r/>
            <w:r>
              <w:rPr>
                <w:b w:val="0"/>
              </w:rPr>
              <w:t>1 Jan 2022 – 18 Jan 2025</w:t>
            </w:r>
          </w:p>
        </w:tc>
      </w:tr>
      <w:tr>
        <w:tc>
          <w:tcPr>
            <w:tcW w:type="dxa" w:w="4968"/>
            <w:vAlign w:val="center"/>
          </w:tcPr>
          <w:p>
            <w:pPr>
              <w:spacing w:after="0"/>
            </w:pPr>
            <w:r/>
            <w:r>
              <w:rPr>
                <w:b w:val="0"/>
              </w:rPr>
              <w:t>Revenue</w:t>
            </w:r>
          </w:p>
        </w:tc>
        <w:tc>
          <w:tcPr>
            <w:tcW w:type="dxa" w:w="4968"/>
            <w:vAlign w:val="center"/>
          </w:tcPr>
          <w:p>
            <w:pPr>
              <w:spacing w:after="0"/>
            </w:pPr>
            <w:r/>
            <w:r>
              <w:rPr>
                <w:b w:val="0"/>
              </w:rPr>
              <w:t>$1.472.998,50</w:t>
            </w:r>
          </w:p>
        </w:tc>
      </w:tr>
      <w:tr>
        <w:tc>
          <w:tcPr>
            <w:tcW w:type="dxa" w:w="4968"/>
            <w:vAlign w:val="center"/>
          </w:tcPr>
          <w:p>
            <w:pPr>
              <w:spacing w:after="0"/>
            </w:pPr>
            <w:r/>
            <w:r>
              <w:rPr>
                <w:b w:val="0"/>
              </w:rPr>
              <w:t>Quantity</w:t>
            </w:r>
          </w:p>
        </w:tc>
        <w:tc>
          <w:tcPr>
            <w:tcW w:type="dxa" w:w="4968"/>
            <w:vAlign w:val="center"/>
          </w:tcPr>
          <w:p>
            <w:pPr>
              <w:spacing w:after="0"/>
            </w:pPr>
            <w:r/>
            <w:r>
              <w:rPr>
                <w:b w:val="0"/>
              </w:rPr>
              <w:t>62.889 unit</w:t>
            </w:r>
          </w:p>
        </w:tc>
      </w:tr>
      <w:tr>
        <w:tc>
          <w:tcPr>
            <w:tcW w:type="dxa" w:w="4968"/>
            <w:vAlign w:val="center"/>
          </w:tcPr>
          <w:p>
            <w:pPr>
              <w:spacing w:after="0"/>
            </w:pPr>
            <w:r/>
            <w:r>
              <w:rPr>
                <w:b w:val="0"/>
              </w:rPr>
              <w:t>Customer unik</w:t>
            </w:r>
          </w:p>
        </w:tc>
        <w:tc>
          <w:tcPr>
            <w:tcW w:type="dxa" w:w="4968"/>
            <w:vAlign w:val="center"/>
          </w:tcPr>
          <w:p>
            <w:pPr>
              <w:spacing w:after="0"/>
            </w:pPr>
            <w:r/>
            <w:r>
              <w:rPr>
                <w:b w:val="0"/>
              </w:rPr>
              <w:t>25</w:t>
            </w:r>
          </w:p>
        </w:tc>
      </w:tr>
      <w:tr>
        <w:tc>
          <w:tcPr>
            <w:tcW w:type="dxa" w:w="4968"/>
            <w:vAlign w:val="center"/>
          </w:tcPr>
          <w:p>
            <w:pPr>
              <w:spacing w:after="0"/>
            </w:pPr>
            <w:r/>
            <w:r>
              <w:rPr>
                <w:b w:val="0"/>
              </w:rPr>
              <w:t>Average Transaction</w:t>
            </w:r>
          </w:p>
        </w:tc>
        <w:tc>
          <w:tcPr>
            <w:tcW w:type="dxa" w:w="4968"/>
            <w:vAlign w:val="center"/>
          </w:tcPr>
          <w:p>
            <w:pPr>
              <w:spacing w:after="0"/>
            </w:pPr>
            <w:r/>
            <w:r>
              <w:rPr>
                <w:b w:val="0"/>
              </w:rPr>
              <w:t>$129,64</w:t>
            </w:r>
          </w:p>
        </w:tc>
      </w:tr>
    </w:tbl>
    <w:p>
      <w:r>
        <w:t>Catatan: dataset tidak menyediakan cost atau margin, sehingga insight berfokus pada sales/revenue performance, bukan profitabilitas.</w:t>
      </w:r>
    </w:p>
    <w:p>
      <w:pPr>
        <w:pStyle w:val="Heading1"/>
      </w:pPr>
      <w:r>
        <w:t>3. Business Insights</w:t>
      </w:r>
    </w:p>
    <w:p>
      <w:pPr>
        <w:pStyle w:val="Heading2"/>
      </w:pPr>
      <w:r>
        <w:t>Insight 1 — Volume penjualan tidak selalu menghasilkan revenue tertinggi</w:t>
      </w:r>
    </w:p>
    <w:p>
      <w:r>
        <w:rPr>
          <w:b/>
        </w:rPr>
        <w:t xml:space="preserve">Evidence: </w:t>
      </w:r>
      <w:r>
        <w:t>Evidence: Item_2_BEV menjual 676 unit dan menjadi produk dengan quantity tertinggi. Namun revenue tertinggi berasal dari Item_25_FUR sebesar $25.256 dengan 616 unit.</w:t>
      </w:r>
    </w:p>
    <w:p>
      <w:r>
        <w:rPr>
          <w:b/>
        </w:rPr>
        <w:t xml:space="preserve">Interpretation: </w:t>
      </w:r>
      <w:r>
        <w:t>Interpretation: Revenue dipengaruhi oleh kombinasi harga per unit dan quantity. Karena itu produk paling laris berdasarkan unit belum tentu menjadi revenue driver.</w:t>
      </w:r>
    </w:p>
    <w:p>
      <w:r>
        <w:rPr>
          <w:b/>
        </w:rPr>
        <w:t xml:space="preserve">Business Implication: </w:t>
      </w:r>
      <w:r>
        <w:t>Implikasi: Evaluasi performa produk sebaiknya memakai minimal revenue dan quantity secara bersamaan.</w:t>
      </w:r>
    </w:p>
    <w:p>
      <w:r>
        <w:rPr>
          <w:b/>
        </w:rPr>
        <w:t xml:space="preserve">Recommendation: </w:t>
      </w:r>
      <w:r>
        <w:t>Rekomendasi: Kelompokkan produk menjadi volume driver dan revenue driver, lalu gunakan strategi berbeda seperti traffic-building, bundling, cross-selling, atau upselling.</w:t>
      </w:r>
    </w:p>
    <w:p>
      <w:pPr>
        <w:pStyle w:val="Heading2"/>
      </w:pPr>
      <w:r>
        <w:t>Insight 2 — Butchers menjadi kategori dengan revenue terbesar</w:t>
      </w:r>
    </w:p>
    <w:p>
      <w:r>
        <w:rPr>
          <w:b/>
        </w:rPr>
        <w:t xml:space="preserve">Evidence: </w:t>
      </w:r>
      <w:r>
        <w:t>Evidence: Butchers menghasilkan $197.426 dari 1.421 transaksi dan 7.774 unit. Berikutnya Electric household essentials $192.441,50 dan Beverages $187.978,50.</w:t>
      </w:r>
    </w:p>
    <w:p>
      <w:r>
        <w:rPr>
          <w:b/>
        </w:rPr>
        <w:t xml:space="preserve">Interpretation: </w:t>
      </w:r>
      <w:r>
        <w:t>Interpretation: Butchers memiliki kontribusi revenue kategori terbesar, tetapi selisih antar kategori relatif dekat.</w:t>
      </w:r>
    </w:p>
    <w:p>
      <w:r>
        <w:rPr>
          <w:b/>
        </w:rPr>
        <w:t xml:space="preserve">Business Implication: </w:t>
      </w:r>
      <w:r>
        <w:t>Implikasi: Kategori Butchers layak menjadi fokus mempertahankan revenue, sementara kategori lain tetap perlu dievaluasi berdasarkan volume dan average transaction.</w:t>
      </w:r>
    </w:p>
    <w:p>
      <w:r>
        <w:rPr>
          <w:b/>
        </w:rPr>
        <w:t xml:space="preserve">Recommendation: </w:t>
      </w:r>
      <w:r>
        <w:t>Rekomendasi: Pertahankan availability produk Butchers dan evaluasi produk penyumbang revenue tertinggi; gunakan bundling/cross-selling untuk kategori yang ingin ditingkatkan.</w:t>
      </w:r>
    </w:p>
    <w:p>
      <w:pPr>
        <w:pStyle w:val="Heading2"/>
      </w:pPr>
      <w:r>
        <w:t>Insight 3 — Online sedikit lebih kuat daripada In-store</w:t>
      </w:r>
    </w:p>
    <w:p>
      <w:r>
        <w:rPr>
          <w:b/>
        </w:rPr>
        <w:t xml:space="preserve">Evidence: </w:t>
      </w:r>
      <w:r>
        <w:t>Evidence: Online menghasilkan $749.431 dari 5.745 transaksi dan 31.940 unit. In-store menghasilkan $723.567,50 dari 5.617 transaksi dan 30.949 unit.</w:t>
      </w:r>
    </w:p>
    <w:p>
      <w:r>
        <w:rPr>
          <w:b/>
        </w:rPr>
        <w:t xml:space="preserve">Interpretation: </w:t>
      </w:r>
      <w:r>
        <w:t>Interpretation: Online unggul pada revenue, transaksi, dan quantity, tetapi perbedaannya tidak ekstrem.</w:t>
      </w:r>
    </w:p>
    <w:p>
      <w:r>
        <w:rPr>
          <w:b/>
        </w:rPr>
        <w:t xml:space="preserve">Business Implication: </w:t>
      </w:r>
      <w:r>
        <w:t>Implikasi: Kedua channel tetap penting dan tidak ada alasan untuk mengabaikan salah satunya.</w:t>
      </w:r>
    </w:p>
    <w:p>
      <w:r>
        <w:rPr>
          <w:b/>
        </w:rPr>
        <w:t xml:space="preserve">Recommendation: </w:t>
      </w:r>
      <w:r>
        <w:t>Rekomendasi: Optimalkan pengalaman online, checkout, informasi produk, dan promosi digital sambil mempertahankan strategi upselling/bundling di toko fisik.</w:t>
      </w:r>
    </w:p>
    <w:p>
      <w:pPr>
        <w:pStyle w:val="Heading2"/>
      </w:pPr>
      <w:r>
        <w:t>Insight 4 — Cash masih menjadi payment method dengan revenue terbesar</w:t>
      </w:r>
    </w:p>
    <w:p>
      <w:r>
        <w:rPr>
          <w:b/>
        </w:rPr>
        <w:t xml:space="preserve">Evidence: </w:t>
      </w:r>
      <w:r>
        <w:t>Evidence: Cash $513.676 dari 3.917 transaksi; Credit Card $481.135; Digital Wallet $478.187,50.</w:t>
      </w:r>
    </w:p>
    <w:p>
      <w:r>
        <w:rPr>
          <w:b/>
        </w:rPr>
        <w:t xml:space="preserve">Interpretation: </w:t>
      </w:r>
      <w:r>
        <w:t>Interpretation: Cash memiliki kontribusi terbesar, tetapi metode non-cash memiliki volume yang cukup dekat.</w:t>
      </w:r>
    </w:p>
    <w:p>
      <w:r>
        <w:rPr>
          <w:b/>
        </w:rPr>
        <w:t xml:space="preserve">Business Implication: </w:t>
      </w:r>
      <w:r>
        <w:t>Implikasi: Pelanggan menggunakan beberapa pilihan pembayaran sehingga fleksibilitas payment method tetap penting.</w:t>
      </w:r>
    </w:p>
    <w:p>
      <w:r>
        <w:rPr>
          <w:b/>
        </w:rPr>
        <w:t xml:space="preserve">Recommendation: </w:t>
      </w:r>
      <w:r>
        <w:t>Rekomendasi: Pertahankan cash dan pastikan payment digital mudah digunakan. Analisis lanjutan dapat menguji nilai transaksi per payment method.</w:t>
      </w:r>
    </w:p>
    <w:p>
      <w:pPr>
        <w:pStyle w:val="Heading2"/>
      </w:pPr>
      <w:r>
        <w:t>Insight 5 — Weekend punya AOV sedikit lebih tinggi, weekday punya revenue lebih besar</w:t>
      </w:r>
    </w:p>
    <w:p>
      <w:r>
        <w:rPr>
          <w:b/>
        </w:rPr>
        <w:t xml:space="preserve">Evidence: </w:t>
      </w:r>
      <w:r>
        <w:t>Evidence: Weekday 8.084 transaksi, revenue $1.044.429,50, AOV $129,20. Weekend 3.278 transaksi, revenue $428.569, AOV $130,74.</w:t>
      </w:r>
    </w:p>
    <w:p>
      <w:r>
        <w:rPr>
          <w:b/>
        </w:rPr>
        <w:t xml:space="preserve">Interpretation: </w:t>
      </w:r>
      <w:r>
        <w:t>Interpretation: AOV weekend sekitar $1,54 lebih tinggi, tetapi jumlah transaksinya jauh lebih rendah.</w:t>
      </w:r>
    </w:p>
    <w:p>
      <w:r>
        <w:rPr>
          <w:b/>
        </w:rPr>
        <w:t xml:space="preserve">Business Implication: </w:t>
      </w:r>
      <w:r>
        <w:t>Implikasi: Revenue weekday terutama didorong volume transaksi, sedangkan weekend memiliki peluang meningkatkan basket size.</w:t>
      </w:r>
    </w:p>
    <w:p>
      <w:r>
        <w:rPr>
          <w:b/>
        </w:rPr>
        <w:t xml:space="preserve">Recommendation: </w:t>
      </w:r>
      <w:r>
        <w:t>Rekomendasi: Gunakan campaign weekday untuk traffic/transaction volume dan weekend untuk bundling atau upselling.</w:t>
      </w:r>
    </w:p>
    <w:p>
      <w:pPr>
        <w:pStyle w:val="Heading2"/>
      </w:pPr>
      <w:r>
        <w:t>Insight 6 — Seluruh customer dalam dataset merupakan repeat customer</w:t>
      </w:r>
    </w:p>
    <w:p>
      <w:r>
        <w:rPr>
          <w:b/>
        </w:rPr>
        <w:t xml:space="preserve">Evidence: </w:t>
      </w:r>
      <w:r>
        <w:t>Evidence: Terdapat 25 customer unik dan 25/25 tercatat sebagai repeat customer; tidak ada customer satu kali.</w:t>
      </w:r>
    </w:p>
    <w:p>
      <w:r>
        <w:rPr>
          <w:b/>
        </w:rPr>
        <w:t xml:space="preserve">Interpretation: </w:t>
      </w:r>
      <w:r>
        <w:t>Interpretation: Dataset memiliki pola repeat purchase yang sangat kuat.</w:t>
      </w:r>
    </w:p>
    <w:p>
      <w:r>
        <w:rPr>
          <w:b/>
        </w:rPr>
        <w:t xml:space="preserve">Business Implication: </w:t>
      </w:r>
      <w:r>
        <w:t>Implikasi: Retention dan customer value layak menjadi fokus analisis. Namun hasil ini merupakan karakteristik dataset dan tidak otomatis mewakili bisnis nyata.</w:t>
      </w:r>
    </w:p>
    <w:p>
      <w:r>
        <w:rPr>
          <w:b/>
        </w:rPr>
        <w:t xml:space="preserve">Recommendation: </w:t>
      </w:r>
      <w:r>
        <w:t>Rekomendasi: Segmentasikan customer berdasarkan frequency dan monetary value untuk menentukan prioritas loyalty program.</w:t>
      </w:r>
    </w:p>
    <w:p>
      <w:pPr>
        <w:pStyle w:val="Heading2"/>
      </w:pPr>
      <w:r>
        <w:t>Insight 7 — Customer dengan transaksi terbanyak bukan spending tertinggi</w:t>
      </w:r>
    </w:p>
    <w:p>
      <w:r>
        <w:rPr>
          <w:b/>
        </w:rPr>
        <w:t xml:space="preserve">Evidence: </w:t>
      </w:r>
      <w:r>
        <w:t>Evidence: CUST_05 memiliki 497 transaksi dan spending $63.855,50. CUST_24 memiliki 489 transaksi tetapi spending tertinggi $64.608.</w:t>
      </w:r>
    </w:p>
    <w:p>
      <w:r>
        <w:rPr>
          <w:b/>
        </w:rPr>
        <w:t xml:space="preserve">Interpretation: </w:t>
      </w:r>
      <w:r>
        <w:t>Interpretation: Frequency dan monetary value merupakan dimensi yang berbeda.</w:t>
      </w:r>
    </w:p>
    <w:p>
      <w:r>
        <w:rPr>
          <w:b/>
        </w:rPr>
        <w:t xml:space="preserve">Business Implication: </w:t>
      </w:r>
      <w:r>
        <w:t>Implikasi: Customer terbaik tidak sebaiknya ditentukan hanya berdasarkan jumlah transaksi.</w:t>
      </w:r>
    </w:p>
    <w:p>
      <w:r>
        <w:rPr>
          <w:b/>
        </w:rPr>
        <w:t xml:space="preserve">Recommendation: </w:t>
      </w:r>
      <w:r>
        <w:t>Rekomendasi: Gunakan segmentasi sederhana High Frequency–High Value dan kelompok lain berdasarkan frequency serta spending.</w:t>
      </w:r>
    </w:p>
    <w:p>
      <w:pPr>
        <w:pStyle w:val="Heading2"/>
      </w:pPr>
      <w:r>
        <w:t>Insight 8 — Discount tidak menunjukkan perbedaan AOV yang berarti</w:t>
      </w:r>
    </w:p>
    <w:p>
      <w:r>
        <w:rPr>
          <w:b/>
        </w:rPr>
        <w:t xml:space="preserve">Evidence: </w:t>
      </w:r>
      <w:r>
        <w:t>Evidence: AOV transaksi discount = $130,72, tanpa discount = $130,13; selisih sekitar $0,59.</w:t>
      </w:r>
    </w:p>
    <w:p>
      <w:r>
        <w:rPr>
          <w:b/>
        </w:rPr>
        <w:t xml:space="preserve">Interpretation: </w:t>
      </w:r>
      <w:r>
        <w:t>Interpretation: Perbedaan AOV sangat kecil. Data ini tidak cukup untuk menyimpulkan discount menyebabkan kenaikan atau penurunan penjualan.</w:t>
      </w:r>
    </w:p>
    <w:p>
      <w:r>
        <w:rPr>
          <w:b/>
        </w:rPr>
        <w:t xml:space="preserve">Business Implication: </w:t>
      </w:r>
      <w:r>
        <w:t>Implikasi: Efektivitas promo membutuhkan informasi tambahan seperti margin, baseline sales, jenis promo, dan periode promo.</w:t>
      </w:r>
    </w:p>
    <w:p>
      <w:r>
        <w:rPr>
          <w:b/>
        </w:rPr>
        <w:t xml:space="preserve">Recommendation: </w:t>
      </w:r>
      <w:r>
        <w:t>Rekomendasi: Nilai discount berdasarkan incremental revenue atau margin, bukan hanya revenue transaksi.</w:t>
      </w:r>
    </w:p>
    <w:p>
      <w:pPr>
        <w:pStyle w:val="Heading2"/>
      </w:pPr>
      <w:r>
        <w:t>Insight 9 — Missing discount cukup besar sehingga tidak boleh dianggap False</w:t>
      </w:r>
    </w:p>
    <w:p>
      <w:r>
        <w:rPr>
          <w:b/>
        </w:rPr>
        <w:t xml:space="preserve">Evidence: </w:t>
      </w:r>
      <w:r>
        <w:t>Evidence: Setelah cleaning terdapat 3.801 True, 3.778 False, dan 3.783 Unknown pada Discount Applied.</w:t>
      </w:r>
    </w:p>
    <w:p>
      <w:r>
        <w:rPr>
          <w:b/>
        </w:rPr>
        <w:t xml:space="preserve">Interpretation: </w:t>
      </w:r>
      <w:r>
        <w:t>Interpretation: Missing value tidak memiliki bukti bahwa artinya False. Mengubahnya menjadi False dapat mengubah klasifikasi transaksi.</w:t>
      </w:r>
    </w:p>
    <w:p>
      <w:r>
        <w:rPr>
          <w:b/>
        </w:rPr>
        <w:t xml:space="preserve">Business Implication: </w:t>
      </w:r>
      <w:r>
        <w:t>Implikasi: Kualitas data berpengaruh langsung terhadap validitas insight promo.</w:t>
      </w:r>
    </w:p>
    <w:p>
      <w:r>
        <w:rPr>
          <w:b/>
        </w:rPr>
        <w:t xml:space="preserve">Recommendation: </w:t>
      </w:r>
      <w:r>
        <w:t>Rekomendasi: Pertahankan Unknown dan, bila memungkinkan, lengkapi dari sumber transaksi asli.</w:t>
      </w:r>
    </w:p>
    <w:p>
      <w:pPr>
        <w:pStyle w:val="Heading2"/>
      </w:pPr>
      <w:r>
        <w:t>Insight 10 — Outlier transaksi valid dan sebaiknya dipertahankan</w:t>
      </w:r>
    </w:p>
    <w:p>
      <w:r>
        <w:rPr>
          <w:b/>
        </w:rPr>
        <w:t xml:space="preserve">Evidence: </w:t>
      </w:r>
      <w:r>
        <w:t>Evidence: IQR menemukan 56 outlier Total Spent. Nilai maksimum $410 konsisten dengan Price Per Unit $41 × Quantity 10.</w:t>
      </w:r>
    </w:p>
    <w:p>
      <w:r>
        <w:rPr>
          <w:b/>
        </w:rPr>
        <w:t xml:space="preserve">Interpretation: </w:t>
      </w:r>
      <w:r>
        <w:t>Interpretation: Outlier statistik tidak selalu berarti error. Pada dataset ini outlier lolos validasi logika transaksi.</w:t>
      </w:r>
    </w:p>
    <w:p>
      <w:r>
        <w:rPr>
          <w:b/>
        </w:rPr>
        <w:t xml:space="preserve">Business Implication: </w:t>
      </w:r>
      <w:r>
        <w:t>Implikasi: Menghapus outlier otomatis dapat menghilangkan transaksi bernilai tinggi yang valid.</w:t>
      </w:r>
    </w:p>
    <w:p>
      <w:r>
        <w:rPr>
          <w:b/>
        </w:rPr>
        <w:t xml:space="preserve">Recommendation: </w:t>
      </w:r>
      <w:r>
        <w:t>Rekomendasi: Pertahankan outlier yang tervalidasi dan analisis sebagai transaksi high-value bila diperlukan.</w:t>
      </w:r>
    </w:p>
    <w:p>
      <w:pPr>
        <w:pStyle w:val="Heading2"/>
      </w:pPr>
      <w:r>
        <w:t>Insight 11 — Revenue 2025 belum boleh dianggap turun secara tahunan</w:t>
      </w:r>
    </w:p>
    <w:p>
      <w:r>
        <w:rPr>
          <w:b/>
        </w:rPr>
        <w:t xml:space="preserve">Evidence: </w:t>
      </w:r>
      <w:r>
        <w:t>Evidence: Revenue 2022 $484.301,50; 2023 $465.149,50; 2024 $499.336; 2025 $24.211,50. Namun data 2025 hanya sampai 18 Januari.</w:t>
      </w:r>
    </w:p>
    <w:p>
      <w:r>
        <w:rPr>
          <w:b/>
        </w:rPr>
        <w:t xml:space="preserve">Interpretation: </w:t>
      </w:r>
      <w:r>
        <w:t>Interpretation: Penurunan 2025 terhadap 2024 bukan perbandingan full-year yang valid.</w:t>
      </w:r>
    </w:p>
    <w:p>
      <w:r>
        <w:rPr>
          <w:b/>
        </w:rPr>
        <w:t xml:space="preserve">Business Implication: </w:t>
      </w:r>
      <w:r>
        <w:t>Implikasi: Perbandingan periode yang tidak sama dapat menghasilkan kesimpulan misleading.</w:t>
      </w:r>
    </w:p>
    <w:p>
      <w:r>
        <w:rPr>
          <w:b/>
        </w:rPr>
        <w:t xml:space="preserve">Recommendation: </w:t>
      </w:r>
      <w:r>
        <w:t>Rekomendasi: Bandingkan periode sebanding, misalnya 1–18 Januari 2024 vs 1–18 Januari 2025, atau tunggu data 2025 lengkap.</w:t>
      </w:r>
    </w:p>
    <w:p>
      <w:pPr>
        <w:pStyle w:val="Heading2"/>
      </w:pPr>
      <w:r>
        <w:t>Insight 12 — Quantity dan price berkorelasi dengan Total Spent, tetapi bukan bukti sebab-akibat</w:t>
      </w:r>
    </w:p>
    <w:p>
      <w:r>
        <w:rPr>
          <w:b/>
        </w:rPr>
        <w:t xml:space="preserve">Evidence: </w:t>
      </w:r>
      <w:r>
        <w:t>Evidence: correlation Price vs Total Spent = 0,631; Quantity vs Total Spent = 0,713; Price vs Quantity = 0,012.</w:t>
      </w:r>
    </w:p>
    <w:p>
      <w:r>
        <w:rPr>
          <w:b/>
        </w:rPr>
        <w:t xml:space="preserve">Interpretation: </w:t>
      </w:r>
      <w:r>
        <w:t>Interpretation: Quantity dan price berkaitan positif dengan nilai transaksi, tetapi Total Spent memang dibentuk dari Price × Quantity sehingga korelasi ini bersifat struktural.</w:t>
      </w:r>
    </w:p>
    <w:p>
      <w:r>
        <w:rPr>
          <w:b/>
        </w:rPr>
        <w:t xml:space="preserve">Business Implication: </w:t>
      </w:r>
      <w:r>
        <w:t>Implikasi: Korelasi tersebut berguna untuk memahami komponen transaksi, bukan untuk menyatakan causal relationship.</w:t>
      </w:r>
    </w:p>
    <w:p>
      <w:r>
        <w:rPr>
          <w:b/>
        </w:rPr>
        <w:t xml:space="preserve">Recommendation: </w:t>
      </w:r>
      <w:r>
        <w:t>Rekomendasi: Untuk analisis kausal diperlukan data perubahan harga, promo, cost, dan/atau eksperimen sebelum-sesudah.</w:t>
      </w:r>
    </w:p>
    <w:p>
      <w:pPr>
        <w:pStyle w:val="Heading1"/>
      </w:pPr>
      <w:r>
        <w:t>4. Prioritas Insight untuk Keputusan Bisnis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b/>
              </w:rPr>
              <w:t>Prioritas</w:t>
            </w:r>
          </w:p>
        </w:tc>
        <w:tc>
          <w:tcPr>
            <w:tcW w:type="dxa" w:w="2484"/>
            <w:vAlign w:val="center"/>
            <w:shd w:fill="D9EAF7"/>
          </w:tcPr>
          <w:p>
            <w:pPr>
              <w:spacing w:after="0"/>
            </w:pPr>
            <w:r/>
            <w:r>
              <w:rPr>
                <w:b/>
              </w:rPr>
              <w:t>Insight</w:t>
            </w:r>
          </w:p>
        </w:tc>
        <w:tc>
          <w:tcPr>
            <w:tcW w:type="dxa" w:w="2484"/>
            <w:vAlign w:val="center"/>
            <w:shd w:fill="D9EAF7"/>
          </w:tcPr>
          <w:p>
            <w:pPr>
              <w:spacing w:after="0"/>
            </w:pPr>
            <w:r/>
            <w:r>
              <w:rPr>
                <w:b/>
              </w:rPr>
              <w:t>Evidence utama</w:t>
            </w:r>
          </w:p>
        </w:tc>
        <w:tc>
          <w:tcPr>
            <w:tcW w:type="dxa" w:w="2484"/>
            <w:vAlign w:val="center"/>
            <w:shd w:fill="D9EAF7"/>
          </w:tcPr>
          <w:p>
            <w:pPr>
              <w:spacing w:after="0"/>
            </w:pPr>
            <w:r/>
            <w:r>
              <w:rPr>
                <w:b/>
              </w:rPr>
              <w:t>Arah tindakan</w:t>
            </w:r>
          </w:p>
        </w:tc>
      </w:tr>
      <w:tr>
        <w:tc>
          <w:tcPr>
            <w:tcW w:type="dxa" w:w="2484"/>
            <w:vAlign w:val="center"/>
          </w:tcPr>
          <w:p>
            <w:pPr>
              <w:spacing w:after="0"/>
            </w:pPr>
            <w:r/>
            <w:r>
              <w:rPr>
                <w:b w:val="0"/>
              </w:rPr>
              <w:t>1</w:t>
            </w:r>
          </w:p>
        </w:tc>
        <w:tc>
          <w:tcPr>
            <w:tcW w:type="dxa" w:w="2484"/>
            <w:vAlign w:val="center"/>
          </w:tcPr>
          <w:p>
            <w:pPr>
              <w:spacing w:after="0"/>
            </w:pPr>
            <w:r/>
            <w:r>
              <w:rPr>
                <w:b w:val="0"/>
              </w:rPr>
              <w:t>Volume ≠ revenue</w:t>
            </w:r>
          </w:p>
        </w:tc>
        <w:tc>
          <w:tcPr>
            <w:tcW w:type="dxa" w:w="2484"/>
            <w:vAlign w:val="center"/>
          </w:tcPr>
          <w:p>
            <w:pPr>
              <w:spacing w:after="0"/>
            </w:pPr>
            <w:r/>
            <w:r>
              <w:rPr>
                <w:b w:val="0"/>
              </w:rPr>
              <w:t>Item_2_BEV qty tertinggi; Item_25_FUR revenue tertinggi</w:t>
            </w:r>
          </w:p>
        </w:tc>
        <w:tc>
          <w:tcPr>
            <w:tcW w:type="dxa" w:w="2484"/>
            <w:vAlign w:val="center"/>
          </w:tcPr>
          <w:p>
            <w:pPr>
              <w:spacing w:after="0"/>
            </w:pPr>
            <w:r/>
            <w:r>
              <w:rPr>
                <w:b w:val="0"/>
              </w:rPr>
              <w:t>Pisahkan volume &amp; revenue driver</w:t>
            </w:r>
          </w:p>
        </w:tc>
      </w:tr>
      <w:tr>
        <w:tc>
          <w:tcPr>
            <w:tcW w:type="dxa" w:w="2484"/>
            <w:vAlign w:val="center"/>
          </w:tcPr>
          <w:p>
            <w:pPr>
              <w:spacing w:after="0"/>
            </w:pPr>
            <w:r/>
            <w:r>
              <w:rPr>
                <w:b w:val="0"/>
              </w:rPr>
              <w:t>2</w:t>
            </w:r>
          </w:p>
        </w:tc>
        <w:tc>
          <w:tcPr>
            <w:tcW w:type="dxa" w:w="2484"/>
            <w:vAlign w:val="center"/>
          </w:tcPr>
          <w:p>
            <w:pPr>
              <w:spacing w:after="0"/>
            </w:pPr>
            <w:r/>
            <w:r>
              <w:rPr>
                <w:b w:val="0"/>
              </w:rPr>
              <w:t>Butchers revenue leader</w:t>
            </w:r>
          </w:p>
        </w:tc>
        <w:tc>
          <w:tcPr>
            <w:tcW w:type="dxa" w:w="2484"/>
            <w:vAlign w:val="center"/>
          </w:tcPr>
          <w:p>
            <w:pPr>
              <w:spacing w:after="0"/>
            </w:pPr>
            <w:r/>
            <w:r>
              <w:rPr>
                <w:b w:val="0"/>
              </w:rPr>
              <w:t>$197.426</w:t>
            </w:r>
          </w:p>
        </w:tc>
        <w:tc>
          <w:tcPr>
            <w:tcW w:type="dxa" w:w="2484"/>
            <w:vAlign w:val="center"/>
          </w:tcPr>
          <w:p>
            <w:pPr>
              <w:spacing w:after="0"/>
            </w:pPr>
            <w:r/>
            <w:r>
              <w:rPr>
                <w:b w:val="0"/>
              </w:rPr>
              <w:t>Pertahankan availability dan evaluasi produk utama</w:t>
            </w:r>
          </w:p>
        </w:tc>
      </w:tr>
      <w:tr>
        <w:tc>
          <w:tcPr>
            <w:tcW w:type="dxa" w:w="2484"/>
            <w:vAlign w:val="center"/>
          </w:tcPr>
          <w:p>
            <w:pPr>
              <w:spacing w:after="0"/>
            </w:pPr>
            <w:r/>
            <w:r>
              <w:rPr>
                <w:b w:val="0"/>
              </w:rPr>
              <w:t>3</w:t>
            </w:r>
          </w:p>
        </w:tc>
        <w:tc>
          <w:tcPr>
            <w:tcW w:type="dxa" w:w="2484"/>
            <w:vAlign w:val="center"/>
          </w:tcPr>
          <w:p>
            <w:pPr>
              <w:spacing w:after="0"/>
            </w:pPr>
            <w:r/>
            <w:r>
              <w:rPr>
                <w:b w:val="0"/>
              </w:rPr>
              <w:t>Online sedikit unggul</w:t>
            </w:r>
          </w:p>
        </w:tc>
        <w:tc>
          <w:tcPr>
            <w:tcW w:type="dxa" w:w="2484"/>
            <w:vAlign w:val="center"/>
          </w:tcPr>
          <w:p>
            <w:pPr>
              <w:spacing w:after="0"/>
            </w:pPr>
            <w:r/>
            <w:r>
              <w:rPr>
                <w:b w:val="0"/>
              </w:rPr>
              <w:t>$749.431 vs $723.567,50</w:t>
            </w:r>
          </w:p>
        </w:tc>
        <w:tc>
          <w:tcPr>
            <w:tcW w:type="dxa" w:w="2484"/>
            <w:vAlign w:val="center"/>
          </w:tcPr>
          <w:p>
            <w:pPr>
              <w:spacing w:after="0"/>
            </w:pPr>
            <w:r/>
            <w:r>
              <w:rPr>
                <w:b w:val="0"/>
              </w:rPr>
              <w:t>Optimalkan online + pertahankan in-store</w:t>
            </w:r>
          </w:p>
        </w:tc>
      </w:tr>
      <w:tr>
        <w:tc>
          <w:tcPr>
            <w:tcW w:type="dxa" w:w="2484"/>
            <w:vAlign w:val="center"/>
          </w:tcPr>
          <w:p>
            <w:pPr>
              <w:spacing w:after="0"/>
            </w:pPr>
            <w:r/>
            <w:r>
              <w:rPr>
                <w:b w:val="0"/>
              </w:rPr>
              <w:t>4</w:t>
            </w:r>
          </w:p>
        </w:tc>
        <w:tc>
          <w:tcPr>
            <w:tcW w:type="dxa" w:w="2484"/>
            <w:vAlign w:val="center"/>
          </w:tcPr>
          <w:p>
            <w:pPr>
              <w:spacing w:after="0"/>
            </w:pPr>
            <w:r/>
            <w:r>
              <w:rPr>
                <w:b w:val="0"/>
              </w:rPr>
              <w:t>Weekend AOV lebih tinggi</w:t>
            </w:r>
          </w:p>
        </w:tc>
        <w:tc>
          <w:tcPr>
            <w:tcW w:type="dxa" w:w="2484"/>
            <w:vAlign w:val="center"/>
          </w:tcPr>
          <w:p>
            <w:pPr>
              <w:spacing w:after="0"/>
            </w:pPr>
            <w:r/>
            <w:r>
              <w:rPr>
                <w:b w:val="0"/>
              </w:rPr>
              <w:t>$130,74 vs $129,20</w:t>
            </w:r>
          </w:p>
        </w:tc>
        <w:tc>
          <w:tcPr>
            <w:tcW w:type="dxa" w:w="2484"/>
            <w:vAlign w:val="center"/>
          </w:tcPr>
          <w:p>
            <w:pPr>
              <w:spacing w:after="0"/>
            </w:pPr>
            <w:r/>
            <w:r>
              <w:rPr>
                <w:b w:val="0"/>
              </w:rPr>
              <w:t>Upselling weekend; traffic campaign weekday</w:t>
            </w:r>
          </w:p>
        </w:tc>
      </w:tr>
      <w:tr>
        <w:tc>
          <w:tcPr>
            <w:tcW w:type="dxa" w:w="2484"/>
            <w:vAlign w:val="center"/>
          </w:tcPr>
          <w:p>
            <w:pPr>
              <w:spacing w:after="0"/>
            </w:pPr>
            <w:r/>
            <w:r>
              <w:rPr>
                <w:b w:val="0"/>
              </w:rPr>
              <w:t>5</w:t>
            </w:r>
          </w:p>
        </w:tc>
        <w:tc>
          <w:tcPr>
            <w:tcW w:type="dxa" w:w="2484"/>
            <w:vAlign w:val="center"/>
          </w:tcPr>
          <w:p>
            <w:pPr>
              <w:spacing w:after="0"/>
            </w:pPr>
            <w:r/>
            <w:r>
              <w:rPr>
                <w:b w:val="0"/>
              </w:rPr>
              <w:t>Semua customer repeat</w:t>
            </w:r>
          </w:p>
        </w:tc>
        <w:tc>
          <w:tcPr>
            <w:tcW w:type="dxa" w:w="2484"/>
            <w:vAlign w:val="center"/>
          </w:tcPr>
          <w:p>
            <w:pPr>
              <w:spacing w:after="0"/>
            </w:pPr>
            <w:r/>
            <w:r>
              <w:rPr>
                <w:b w:val="0"/>
              </w:rPr>
              <w:t>25/25 repeat</w:t>
            </w:r>
          </w:p>
        </w:tc>
        <w:tc>
          <w:tcPr>
            <w:tcW w:type="dxa" w:w="2484"/>
            <w:vAlign w:val="center"/>
          </w:tcPr>
          <w:p>
            <w:pPr>
              <w:spacing w:after="0"/>
            </w:pPr>
            <w:r/>
            <w:r>
              <w:rPr>
                <w:b w:val="0"/>
              </w:rPr>
              <w:t>Segmentasi frequency &amp; monetary value</w:t>
            </w:r>
          </w:p>
        </w:tc>
      </w:tr>
      <w:tr>
        <w:tc>
          <w:tcPr>
            <w:tcW w:type="dxa" w:w="2484"/>
            <w:vAlign w:val="center"/>
          </w:tcPr>
          <w:p>
            <w:pPr>
              <w:spacing w:after="0"/>
            </w:pPr>
            <w:r/>
            <w:r>
              <w:rPr>
                <w:b w:val="0"/>
              </w:rPr>
              <w:t>6</w:t>
            </w:r>
          </w:p>
        </w:tc>
        <w:tc>
          <w:tcPr>
            <w:tcW w:type="dxa" w:w="2484"/>
            <w:vAlign w:val="center"/>
          </w:tcPr>
          <w:p>
            <w:pPr>
              <w:spacing w:after="0"/>
            </w:pPr>
            <w:r/>
            <w:r>
              <w:rPr>
                <w:b w:val="0"/>
              </w:rPr>
              <w:t>Discount AOV hampir sama</w:t>
            </w:r>
          </w:p>
        </w:tc>
        <w:tc>
          <w:tcPr>
            <w:tcW w:type="dxa" w:w="2484"/>
            <w:vAlign w:val="center"/>
          </w:tcPr>
          <w:p>
            <w:pPr>
              <w:spacing w:after="0"/>
            </w:pPr>
            <w:r/>
            <w:r>
              <w:rPr>
                <w:b w:val="0"/>
              </w:rPr>
              <w:t>$130,72 vs $130,13</w:t>
            </w:r>
          </w:p>
        </w:tc>
        <w:tc>
          <w:tcPr>
            <w:tcW w:type="dxa" w:w="2484"/>
            <w:vAlign w:val="center"/>
          </w:tcPr>
          <w:p>
            <w:pPr>
              <w:spacing w:after="0"/>
            </w:pPr>
            <w:r/>
            <w:r>
              <w:rPr>
                <w:b w:val="0"/>
              </w:rPr>
              <w:t>Butuh metric promo/margin tambahan</w:t>
            </w:r>
          </w:p>
        </w:tc>
      </w:tr>
      <w:tr>
        <w:tc>
          <w:tcPr>
            <w:tcW w:type="dxa" w:w="2484"/>
            <w:vAlign w:val="center"/>
          </w:tcPr>
          <w:p>
            <w:pPr>
              <w:spacing w:after="0"/>
            </w:pPr>
            <w:r/>
            <w:r>
              <w:rPr>
                <w:b w:val="0"/>
              </w:rPr>
              <w:t>7</w:t>
            </w:r>
          </w:p>
        </w:tc>
        <w:tc>
          <w:tcPr>
            <w:tcW w:type="dxa" w:w="2484"/>
            <w:vAlign w:val="center"/>
          </w:tcPr>
          <w:p>
            <w:pPr>
              <w:spacing w:after="0"/>
            </w:pPr>
            <w:r/>
            <w:r>
              <w:rPr>
                <w:b w:val="0"/>
              </w:rPr>
              <w:t>Outlier valid</w:t>
            </w:r>
          </w:p>
        </w:tc>
        <w:tc>
          <w:tcPr>
            <w:tcW w:type="dxa" w:w="2484"/>
            <w:vAlign w:val="center"/>
          </w:tcPr>
          <w:p>
            <w:pPr>
              <w:spacing w:after="0"/>
            </w:pPr>
            <w:r/>
            <w:r>
              <w:rPr>
                <w:b w:val="0"/>
              </w:rPr>
              <w:t>56 outlier; max $410 valid</w:t>
            </w:r>
          </w:p>
        </w:tc>
        <w:tc>
          <w:tcPr>
            <w:tcW w:type="dxa" w:w="2484"/>
            <w:vAlign w:val="center"/>
          </w:tcPr>
          <w:p>
            <w:pPr>
              <w:spacing w:after="0"/>
            </w:pPr>
            <w:r/>
            <w:r>
              <w:rPr>
                <w:b w:val="0"/>
              </w:rPr>
              <w:t>Jangan hapus otomatis</w:t>
            </w:r>
          </w:p>
        </w:tc>
      </w:tr>
      <w:tr>
        <w:tc>
          <w:tcPr>
            <w:tcW w:type="dxa" w:w="2484"/>
            <w:vAlign w:val="center"/>
          </w:tcPr>
          <w:p>
            <w:pPr>
              <w:spacing w:after="0"/>
            </w:pPr>
            <w:r/>
            <w:r>
              <w:rPr>
                <w:b w:val="0"/>
              </w:rPr>
              <w:t>8</w:t>
            </w:r>
          </w:p>
        </w:tc>
        <w:tc>
          <w:tcPr>
            <w:tcW w:type="dxa" w:w="2484"/>
            <w:vAlign w:val="center"/>
          </w:tcPr>
          <w:p>
            <w:pPr>
              <w:spacing w:after="0"/>
            </w:pPr>
            <w:r/>
            <w:r>
              <w:rPr>
                <w:b w:val="0"/>
              </w:rPr>
              <w:t>2025 partial</w:t>
            </w:r>
          </w:p>
        </w:tc>
        <w:tc>
          <w:tcPr>
            <w:tcW w:type="dxa" w:w="2484"/>
            <w:vAlign w:val="center"/>
          </w:tcPr>
          <w:p>
            <w:pPr>
              <w:spacing w:after="0"/>
            </w:pPr>
            <w:r/>
            <w:r>
              <w:rPr>
                <w:b w:val="0"/>
              </w:rPr>
              <w:t>Data hanya sampai 18 Jan</w:t>
            </w:r>
          </w:p>
        </w:tc>
        <w:tc>
          <w:tcPr>
            <w:tcW w:type="dxa" w:w="2484"/>
            <w:vAlign w:val="center"/>
          </w:tcPr>
          <w:p>
            <w:pPr>
              <w:spacing w:after="0"/>
            </w:pPr>
            <w:r/>
            <w:r>
              <w:rPr>
                <w:b w:val="0"/>
              </w:rPr>
              <w:t>Gunakan comparable period</w:t>
            </w:r>
          </w:p>
        </w:tc>
      </w:tr>
    </w:tbl>
    <w:p>
      <w:pPr>
        <w:pStyle w:val="Heading1"/>
      </w:pPr>
      <w:r>
        <w:t>5. Business Recommendations</w:t>
      </w:r>
    </w:p>
    <w:p>
      <w:pPr>
        <w:pStyle w:val="ListBullet"/>
      </w:pPr>
      <w:r>
        <w:t>Gunakan revenue dan quantity secara bersamaan untuk mengevaluasi produk.</w:t>
      </w:r>
    </w:p>
    <w:p>
      <w:pPr>
        <w:pStyle w:val="ListBullet"/>
      </w:pPr>
      <w:r>
        <w:t>Pertahankan kategori Butchers sebagai salah satu fokus revenue dan evaluasi produk top contributor.</w:t>
      </w:r>
    </w:p>
    <w:p>
      <w:pPr>
        <w:pStyle w:val="ListBullet"/>
      </w:pPr>
      <w:r>
        <w:t>Optimalkan channel Online tanpa mengabaikan In-store.</w:t>
      </w:r>
    </w:p>
    <w:p>
      <w:pPr>
        <w:pStyle w:val="ListBullet"/>
      </w:pPr>
      <w:r>
        <w:t>Gunakan strategi berbeda: weekday untuk volume transaksi, weekend untuk basket size.</w:t>
      </w:r>
    </w:p>
    <w:p>
      <w:pPr>
        <w:pStyle w:val="ListBullet"/>
      </w:pPr>
      <w:r>
        <w:t>Bangun segmentasi customer berdasarkan frequency dan monetary value.</w:t>
      </w:r>
    </w:p>
    <w:p>
      <w:pPr>
        <w:pStyle w:val="ListBullet"/>
      </w:pPr>
      <w:r>
        <w:t>Evaluasi discount menggunakan margin/incremental revenue bila datanya tersedia.</w:t>
      </w:r>
    </w:p>
    <w:p>
      <w:pPr>
        <w:pStyle w:val="ListBullet"/>
      </w:pPr>
      <w:r>
        <w:t>Perbaiki pencatatan Discount Applied untuk mengurangi Unknown.</w:t>
      </w:r>
    </w:p>
    <w:p>
      <w:pPr>
        <w:pStyle w:val="ListBullet"/>
      </w:pPr>
      <w:r>
        <w:t>Gunakan comparable period ketika membandingkan performa tahunan.</w:t>
      </w:r>
    </w:p>
    <w:p>
      <w:pPr>
        <w:pStyle w:val="Heading1"/>
      </w:pPr>
      <w:r>
        <w:t>6. Limitations</w:t>
      </w:r>
    </w:p>
    <w:p>
      <w:pPr>
        <w:pStyle w:val="ListBullet"/>
      </w:pPr>
      <w:r>
        <w:t>Dataset tidak memiliki cost/margin, sehingga profitabilitas tidak dapat dianalisis.</w:t>
      </w:r>
    </w:p>
    <w:p>
      <w:pPr>
        <w:pStyle w:val="ListBullet"/>
      </w:pPr>
      <w:r>
        <w:t>Data 2025 hanya sampai 18 Januari.</w:t>
      </w:r>
    </w:p>
    <w:p>
      <w:pPr>
        <w:pStyle w:val="ListBullet"/>
      </w:pPr>
      <w:r>
        <w:t>Discount Applied memiliki missing value yang cukup besar.</w:t>
      </w:r>
    </w:p>
    <w:p>
      <w:pPr>
        <w:pStyle w:val="ListBullet"/>
      </w:pPr>
      <w:r>
        <w:t>Hanya ada 25 customer unik sehingga hasil segmentasi tidak dapat langsung digeneralisasi.</w:t>
      </w:r>
    </w:p>
    <w:p>
      <w:pPr>
        <w:pStyle w:val="ListBullet"/>
      </w:pPr>
      <w:r>
        <w:t>Correlation tidak membuktikan causal relationship.</w:t>
      </w:r>
    </w:p>
    <w:p>
      <w:pPr>
        <w:pStyle w:val="Heading1"/>
      </w:pPr>
      <w:r>
        <w:t>7. Conclusion</w:t>
      </w:r>
    </w:p>
    <w:p>
      <w:r>
        <w:t>Secara keseluruhan, bisnis retail pada dataset memiliki performa yang relatif seimbang antar kategori dan channel. Butchers menjadi revenue leader dan Online sedikit lebih tinggi daripada In-store. Analisis produk membuktikan bahwa produk dengan volume tertinggi belum tentu menjadi revenue tertinggi.</w:t>
      </w:r>
    </w:p>
    <w:p>
      <w:r>
        <w:t>Dari sisi customer, seluruh customer merupakan repeat customer, tetapi frequency transaksi tidak selalu identik dengan spending tertinggi. Weekend memiliki AOV sedikit lebih tinggi, sedangkan weekday menghasilkan revenue lebih besar karena volume transaksi.</w:t>
      </w:r>
    </w:p>
    <w:p>
      <w:r>
        <w:t>Insight yang paling penting adalah menjaga kualitas data dan menghindari overclaim. Outlier yang valid dipertahankan, missing discount diperlakukan sebagai Unknown, dan revenue 2025 tidak dinilai sebagai full-year decline. Pendekatan ini membuat hasil analisis lebih dapat dipertanggungjawabkan sebagai portfolio Data Analyst.</w:t>
      </w:r>
    </w:p>
    <w:p>
      <w:pPr>
        <w:jc w:val="center"/>
      </w:pPr>
      <w:r>
        <w:rPr>
          <w:i/>
          <w:sz w:val="18"/>
        </w:rPr>
        <w:t>Retail Store Sales Analysis — Business Insight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