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6-MONTH INTEGRATED PLAN</w:t>
      </w:r>
    </w:p>
    <w:p>
      <w:pPr>
        <w:spacing w:before="0" w:after="60"/>
      </w:pPr>
      <w:r>
        <w:rPr>
          <w:rFonts w:ascii="Arial" w:cs="Arial" w:eastAsia="Arial" w:hAnsi="Arial"/>
          <w:color w:val="555555"/>
          <w:sz w:val="24"/>
          <w:szCs w:val="24"/>
        </w:rPr>
        <w:t xml:space="preserve">DeFi Project  +  Academic Risk Research  →  MRM Role Ready</w:t>
      </w:r>
    </w:p>
    <w:p>
      <w:pPr>
        <w:spacing w:before="0" w:after="220"/>
      </w:pPr>
      <w:r>
        <w:rPr>
          <w:rFonts w:ascii="Arial" w:cs="Arial" w:eastAsia="Arial" w:hAnsi="Arial"/>
          <w:i/>
          <w:iCs/>
          <w:color w:val="999999"/>
          <w:sz w:val="20"/>
          <w:szCs w:val="20"/>
        </w:rPr>
        <w:t xml:space="preserve">Ruperto Pedro Bonet Chaple  ·  Start: February 2026  ·  Target: August 2026</w:t>
      </w:r>
    </w:p>
    <w:p>
      <w:pPr>
        <w:pBdr>
          <w:bottom w:val="single" w:color="1F3864" w:sz="6" w:space="4"/>
        </w:pBdr>
        <w:spacing w:before="320" w:after="120"/>
      </w:pPr>
      <w:r>
        <w:rPr>
          <w:rFonts w:ascii="Arial" w:cs="Arial" w:eastAsia="Arial" w:hAnsi="Arial"/>
          <w:b/>
          <w:bCs/>
          <w:color w:val="1F3864"/>
          <w:sz w:val="28"/>
          <w:szCs w:val="28"/>
        </w:rPr>
        <w:t xml:space="preserve">The Strategic Logic: Why This Sequence Works</w:t>
      </w:r>
    </w:p>
    <w:p>
      <w:pPr>
        <w:spacing w:before="60" w:after="60"/>
      </w:pPr>
      <w:r>
        <w:rPr>
          <w:rFonts w:ascii="Arial" w:cs="Arial" w:eastAsia="Arial" w:hAnsi="Arial"/>
          <w:sz w:val="21"/>
          <w:szCs w:val="21"/>
        </w:rPr>
        <w:t xml:space="preserve">The critical insight is that DeFi and academic risk research are not distractions from MRM readiness — they are the raw material for it, if deliberately shaped. The risk is doing them in isolation and arriving at month 6 with three disconnected projects. The plan below integrates all three so that each piece of work produces both its own output and an MRM portfolio artefact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40"/>
              <w:left w:type="dxa" w:w="200"/>
              <w:bottom w:type="dxa" w:w="140"/>
              <w:right w:type="dxa" w:w="200"/>
            </w:tcMar>
          </w:tcPr>
          <w:p>
            <w:r>
              <w:rPr>
                <w:rFonts w:ascii="Arial" w:cs="Arial" w:eastAsia="Arial" w:hAnsi="Arial"/>
                <w:b/>
                <w:bCs/>
                <w:color w:val="92400E"/>
                <w:sz w:val="21"/>
                <w:szCs w:val="21"/>
              </w:rPr>
              <w:t xml:space="preserve">The Core Constraint</w:t>
            </w:r>
          </w:p>
          <w:p>
            <w:pPr>
              <w:spacing w:before="60"/>
            </w:pPr>
            <w:r>
              <w:rPr>
                <w:rFonts w:ascii="Arial" w:cs="Arial" w:eastAsia="Arial" w:hAnsi="Arial"/>
                <w:color w:val="1E293B"/>
                <w:sz w:val="20"/>
                <w:szCs w:val="20"/>
              </w:rPr>
              <w:t xml:space="preserve">6 months to MRM-ready with a JMLR paper in progress, a DeFi project just starting, and academic risk research beginning. You cannot do everything. The plan therefore makes hard choices: it drops FRM Part I (exam in 6 months is too tight alongside research), deprioritises climate/op risk/ALM (lowest MRM demand), and concentrates effort on the three domains where your existing foundations are strongest and the MRM demand is highest: ML/AI model validation, market risk (VaR/ES), and credit risk basics (IFRS 9 ECL).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TRACK A</w:t>
            </w:r>
          </w:p>
          <w:p>
            <w:r>
              <w:rPr>
                <w:rFonts w:ascii="Arial" w:cs="Arial" w:eastAsia="Arial" w:hAnsi="Arial"/>
                <w:color w:val="AACCFF"/>
                <w:sz w:val="20"/>
                <w:szCs w:val="20"/>
              </w:rPr>
              <w:t xml:space="preserve">DeFi Project</w:t>
            </w:r>
          </w:p>
          <w:p>
            <w:pPr>
              <w:spacing w:before="60"/>
            </w:pPr>
            <w:r>
              <w:rPr>
                <w:rFonts w:ascii="Arial" w:cs="Arial" w:eastAsia="Arial" w:hAnsi="Arial"/>
                <w:color w:val="CCDDFF"/>
                <w:sz w:val="18"/>
                <w:szCs w:val="18"/>
              </w:rPr>
              <w:t xml:space="preserve">Months 1–3. Runs as-is per roadmap. Each formula validated becomes a banking translation exercise.</w:t>
            </w:r>
          </w:p>
        </w:tc>
        <w:tc>
          <w:tcPr>
            <w:tcW w:type="dxa" w:w="3120"/>
            <w:tcBorders>
              <w:top w:val="single" w:color="CBD5E1" w:sz="1"/>
              <w:left w:val="single" w:color="CBD5E1" w:sz="1"/>
              <w:bottom w:val="single" w:color="CBD5E1" w:sz="1"/>
              <w:right w:val="single" w:color="CBD5E1" w:sz="1"/>
            </w:tcBorders>
            <w:shd w:fill="14532D" w:val="clear"/>
            <w:tcMar>
              <w:top w:type="dxa" w:w="100"/>
              <w:left w:type="dxa" w:w="150"/>
              <w:bottom w:type="dxa" w:w="100"/>
              <w:right w:type="dxa" w:w="150"/>
            </w:tcMar>
          </w:tcPr>
          <w:p>
            <w:r>
              <w:rPr>
                <w:rFonts w:ascii="Arial" w:cs="Arial" w:eastAsia="Arial" w:hAnsi="Arial"/>
                <w:b/>
                <w:bCs/>
                <w:color w:val="FFFFFF"/>
                <w:sz w:val="22"/>
                <w:szCs w:val="22"/>
              </w:rPr>
              <w:t xml:space="preserve">TRACK B</w:t>
            </w:r>
          </w:p>
          <w:p>
            <w:r>
              <w:rPr>
                <w:rFonts w:ascii="Arial" w:cs="Arial" w:eastAsia="Arial" w:hAnsi="Arial"/>
                <w:color w:val="AAFFCC"/>
                <w:sz w:val="20"/>
                <w:szCs w:val="20"/>
              </w:rPr>
              <w:t xml:space="preserve">Academic Risk Research</w:t>
            </w:r>
          </w:p>
          <w:p>
            <w:pPr>
              <w:spacing w:before="60"/>
            </w:pPr>
            <w:r>
              <w:rPr>
                <w:rFonts w:ascii="Arial" w:cs="Arial" w:eastAsia="Arial" w:hAnsi="Arial"/>
                <w:color w:val="CCFFDD"/>
                <w:sz w:val="18"/>
                <w:szCs w:val="18"/>
              </w:rPr>
              <w:t xml:space="preserve">Months 1–6. Choose a topic that overlaps MRM directly. Each chapter/result = a validation artefact.</w:t>
            </w:r>
          </w:p>
        </w:tc>
        <w:tc>
          <w:tcPr>
            <w:tcW w:type="dxa" w:w="3120"/>
            <w:tcBorders>
              <w:top w:val="single" w:color="CBD5E1" w:sz="1"/>
              <w:left w:val="single" w:color="CBD5E1" w:sz="1"/>
              <w:bottom w:val="single" w:color="CBD5E1" w:sz="1"/>
              <w:right w:val="single" w:color="CBD5E1" w:sz="1"/>
            </w:tcBorders>
            <w:shd w:fill="7C2D12" w:val="clear"/>
            <w:tcMar>
              <w:top w:type="dxa" w:w="100"/>
              <w:left w:type="dxa" w:w="150"/>
              <w:bottom w:type="dxa" w:w="100"/>
              <w:right w:type="dxa" w:w="150"/>
            </w:tcMar>
          </w:tcPr>
          <w:p>
            <w:r>
              <w:rPr>
                <w:rFonts w:ascii="Arial" w:cs="Arial" w:eastAsia="Arial" w:hAnsi="Arial"/>
                <w:b/>
                <w:bCs/>
                <w:color w:val="FFFFFF"/>
                <w:sz w:val="22"/>
                <w:szCs w:val="22"/>
              </w:rPr>
              <w:t xml:space="preserve">TRACK C</w:t>
            </w:r>
          </w:p>
          <w:p>
            <w:r>
              <w:rPr>
                <w:rFonts w:ascii="Arial" w:cs="Arial" w:eastAsia="Arial" w:hAnsi="Arial"/>
                <w:color w:val="FFCCAA"/>
                <w:sz w:val="20"/>
                <w:szCs w:val="20"/>
              </w:rPr>
              <w:t xml:space="preserve">MRM Bridge Work</w:t>
            </w:r>
          </w:p>
          <w:p>
            <w:pPr>
              <w:spacing w:before="60"/>
            </w:pPr>
            <w:r>
              <w:rPr>
                <w:rFonts w:ascii="Arial" w:cs="Arial" w:eastAsia="Arial" w:hAnsi="Arial"/>
                <w:color w:val="FFDDCC"/>
                <w:sz w:val="18"/>
                <w:szCs w:val="18"/>
              </w:rPr>
              <w:t xml:space="preserve">Months 1–6. The five SS1/23 artefacts from the previous document. ~3–5 hrs/week alongside the other two.</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The Most Important Decision: What to Research</w:t>
      </w:r>
    </w:p>
    <w:p>
      <w:pPr>
        <w:spacing w:before="60" w:after="60"/>
      </w:pPr>
      <w:r>
        <w:rPr>
          <w:rFonts w:ascii="Arial" w:cs="Arial" w:eastAsia="Arial" w:hAnsi="Arial"/>
          <w:sz w:val="21"/>
          <w:szCs w:val="21"/>
        </w:rPr>
        <w:t xml:space="preserve">Your academic risk research topic is the highest-leverage choice in this entire plan. The right topic makes Tracks A, B, and C converge. The wrong topic means you spend 6 months producing work that is irrelevant to MRM interviews. Here is a framework for choosing: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Research Topic Option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MRM Relevance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Builds on HypatiaX?</w:t>
            </w:r>
          </w:p>
        </w:tc>
        <w:tc>
          <w:tcPr>
            <w:tcW w:type="dxa" w:w="296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What It Produces for MRM Portfolio</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before="0"/>
            </w:pPr>
            <w:r>
              <w:rPr>
                <w:rFonts w:ascii="Arial" w:cs="Arial" w:eastAsia="Arial" w:hAnsi="Arial"/>
                <w:b/>
                <w:bCs/>
                <w:i w:val="false"/>
                <w:iCs w:val="false"/>
                <w:color w:val="1D4ED8"/>
                <w:sz w:val="19"/>
                <w:szCs w:val="19"/>
              </w:rPr>
              <w:t xml:space="preserve">ML Model Validation in Credit Risk</w:t>
            </w:r>
          </w:p>
          <w:p>
            <w:pPr>
              <w:spacing w:before="40"/>
            </w:pPr>
            <w:r>
              <w:rPr>
                <w:rFonts w:ascii="Arial" w:cs="Arial" w:eastAsia="Arial" w:hAnsi="Arial"/>
                <w:b w:val="false"/>
                <w:bCs w:val="false"/>
                <w:i w:val="false"/>
                <w:iCs w:val="false"/>
                <w:color w:val="1E293B"/>
                <w:sz w:val="18"/>
                <w:szCs w:val="18"/>
              </w:rPr>
              <w:t xml:space="preserve">e.g. Comparing XGBoost vs. logistic regression PD models — validation methodology, SHAP stability, OOT testing</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Highest demand in MRM right now</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Direct extension of HypatiaX ML failure mode work</w:t>
            </w:r>
          </w:p>
        </w:tc>
        <w:tc>
          <w:tcPr>
            <w:tcW w:type="dxa" w:w="29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A full ML model validation report (SS1/23 format)</w:t>
            </w:r>
          </w:p>
          <w:p>
            <w:pPr>
              <w:pStyle w:val="ListParagraph"/>
              <w:numPr>
                <w:ilvl w:val="0"/>
                <w:numId w:val="2"/>
              </w:numPr>
              <w:spacing w:before="30" w:after="30"/>
            </w:pPr>
            <w:r>
              <w:rPr>
                <w:rFonts w:ascii="Arial" w:cs="Arial" w:eastAsia="Arial" w:hAnsi="Arial"/>
                <w:color w:val="1E293B"/>
                <w:sz w:val="19"/>
                <w:szCs w:val="19"/>
              </w:rPr>
              <w:t xml:space="preserve">OOT backtesting engine in Python</w:t>
            </w:r>
          </w:p>
          <w:p>
            <w:pPr>
              <w:pStyle w:val="ListParagraph"/>
              <w:numPr>
                <w:ilvl w:val="0"/>
                <w:numId w:val="2"/>
              </w:numPr>
              <w:spacing w:before="30" w:after="30"/>
            </w:pPr>
            <w:r>
              <w:rPr>
                <w:rFonts w:ascii="Arial" w:cs="Arial" w:eastAsia="Arial" w:hAnsi="Arial"/>
                <w:color w:val="1E293B"/>
                <w:sz w:val="19"/>
                <w:szCs w:val="19"/>
              </w:rPr>
              <w:t xml:space="preserve">SHAP explainability analysis</w:t>
            </w:r>
          </w:p>
          <w:p>
            <w:pPr>
              <w:pStyle w:val="ListParagraph"/>
              <w:numPr>
                <w:ilvl w:val="0"/>
                <w:numId w:val="2"/>
              </w:numPr>
              <w:spacing w:before="30" w:after="30"/>
            </w:pPr>
            <w:r>
              <w:rPr>
                <w:rFonts w:ascii="Arial" w:cs="Arial" w:eastAsia="Arial" w:hAnsi="Arial"/>
                <w:color w:val="1E293B"/>
                <w:sz w:val="19"/>
                <w:szCs w:val="19"/>
              </w:rPr>
              <w:t xml:space="preserve">Fairness/bias testing section</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before="0"/>
            </w:pPr>
            <w:r>
              <w:rPr>
                <w:rFonts w:ascii="Arial" w:cs="Arial" w:eastAsia="Arial" w:hAnsi="Arial"/>
                <w:b/>
                <w:bCs/>
                <w:i w:val="false"/>
                <w:iCs w:val="false"/>
                <w:color w:val="1D4ED8"/>
                <w:sz w:val="19"/>
                <w:szCs w:val="19"/>
              </w:rPr>
              <w:t xml:space="preserve">Extrapolation Risk in Financial Stress Testing</w:t>
            </w:r>
          </w:p>
          <w:p>
            <w:pPr>
              <w:spacing w:before="40"/>
            </w:pPr>
            <w:r>
              <w:rPr>
                <w:rFonts w:ascii="Arial" w:cs="Arial" w:eastAsia="Arial" w:hAnsi="Arial"/>
                <w:b w:val="false"/>
                <w:bCs w:val="false"/>
                <w:i w:val="false"/>
                <w:iCs w:val="false"/>
                <w:color w:val="1E293B"/>
                <w:sz w:val="18"/>
                <w:szCs w:val="18"/>
              </w:rPr>
              <w:t xml:space="preserve">e.g. When do IFRS 9 ECL models break under macro stress? Direct application of interpolation-extrapolation decoupling</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High — IFRS 9 + stress testing are core MRM</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The HypatiaX central finding applied to finance</w:t>
            </w:r>
          </w:p>
        </w:tc>
        <w:tc>
          <w:tcPr>
            <w:tcW w:type="dxa" w:w="29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IFRS 9 ECL validation with OOD stress test</w:t>
            </w:r>
          </w:p>
          <w:p>
            <w:pPr>
              <w:pStyle w:val="ListParagraph"/>
              <w:numPr>
                <w:ilvl w:val="0"/>
                <w:numId w:val="2"/>
              </w:numPr>
              <w:spacing w:before="30" w:after="30"/>
            </w:pPr>
            <w:r>
              <w:rPr>
                <w:rFonts w:ascii="Arial" w:cs="Arial" w:eastAsia="Arial" w:hAnsi="Arial"/>
                <w:color w:val="1E293B"/>
                <w:sz w:val="19"/>
                <w:szCs w:val="19"/>
              </w:rPr>
              <w:t xml:space="preserve">Formal conceptual soundness assessment</w:t>
            </w:r>
          </w:p>
          <w:p>
            <w:pPr>
              <w:pStyle w:val="ListParagraph"/>
              <w:numPr>
                <w:ilvl w:val="0"/>
                <w:numId w:val="2"/>
              </w:numPr>
              <w:spacing w:before="30" w:after="30"/>
            </w:pPr>
            <w:r>
              <w:rPr>
                <w:rFonts w:ascii="Arial" w:cs="Arial" w:eastAsia="Arial" w:hAnsi="Arial"/>
                <w:color w:val="1E293B"/>
                <w:sz w:val="19"/>
                <w:szCs w:val="19"/>
              </w:rPr>
              <w:t xml:space="preserve">Macro scenario sensitivity analysis</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before="0"/>
            </w:pPr>
            <w:r>
              <w:rPr>
                <w:rFonts w:ascii="Arial" w:cs="Arial" w:eastAsia="Arial" w:hAnsi="Arial"/>
                <w:b/>
                <w:bCs/>
                <w:i w:val="false"/>
                <w:iCs w:val="false"/>
                <w:color w:val="1D4ED8"/>
                <w:sz w:val="19"/>
                <w:szCs w:val="19"/>
              </w:rPr>
              <w:t xml:space="preserve">Symbolic Regression for VaR Model Discovery</w:t>
            </w:r>
          </w:p>
          <w:p>
            <w:pPr>
              <w:spacing w:before="40"/>
            </w:pPr>
            <w:r>
              <w:rPr>
                <w:rFonts w:ascii="Arial" w:cs="Arial" w:eastAsia="Arial" w:hAnsi="Arial"/>
                <w:b w:val="false"/>
                <w:bCs w:val="false"/>
                <w:i w:val="false"/>
                <w:iCs w:val="false"/>
                <w:color w:val="1E293B"/>
                <w:sz w:val="18"/>
                <w:szCs w:val="18"/>
              </w:rPr>
              <w:t xml:space="preserve">e.g. Can HypatiaX recover VaR/ES formulas from real P&amp;L data? Extend Campaign 1 to real financial time series</w:t>
            </w:r>
          </w:p>
        </w:tc>
        <w:tc>
          <w:tcPr>
            <w:tcW w:type="dxa" w:w="180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jc w:val="left"/>
            </w:pPr>
            <w:r>
              <w:rPr>
                <w:rFonts w:ascii="Arial" w:cs="Arial" w:eastAsia="Arial" w:hAnsi="Arial"/>
                <w:b w:val="false"/>
                <w:bCs w:val="false"/>
                <w:i w:val="false"/>
                <w:iCs w:val="false"/>
                <w:color w:val="92400E"/>
                <w:sz w:val="19"/>
                <w:szCs w:val="19"/>
              </w:rPr>
              <w:t xml:space="preserve">★★★☆☆
Moderate — novel but niche in MRM</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Direct continuation of HypatiaX</w:t>
            </w:r>
          </w:p>
        </w:tc>
        <w:tc>
          <w:tcPr>
            <w:tcW w:type="dxa" w:w="29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VaR backtesting engine (artefact 3 from previous doc)</w:t>
            </w:r>
          </w:p>
          <w:p>
            <w:pPr>
              <w:pStyle w:val="ListParagraph"/>
              <w:numPr>
                <w:ilvl w:val="0"/>
                <w:numId w:val="2"/>
              </w:numPr>
              <w:spacing w:before="30" w:after="30"/>
            </w:pPr>
            <w:r>
              <w:rPr>
                <w:rFonts w:ascii="Arial" w:cs="Arial" w:eastAsia="Arial" w:hAnsi="Arial"/>
                <w:color w:val="1E293B"/>
                <w:sz w:val="19"/>
                <w:szCs w:val="19"/>
              </w:rPr>
              <w:t xml:space="preserve">Extended HypatiaX paper (finance domain)</w:t>
            </w:r>
          </w:p>
          <w:p>
            <w:pPr>
              <w:pStyle w:val="ListParagraph"/>
              <w:numPr>
                <w:ilvl w:val="0"/>
                <w:numId w:val="2"/>
              </w:numPr>
              <w:spacing w:before="30" w:after="30"/>
            </w:pPr>
            <w:r>
              <w:rPr>
                <w:rFonts w:ascii="Arial" w:cs="Arial" w:eastAsia="Arial" w:hAnsi="Arial"/>
                <w:color w:val="1E293B"/>
                <w:sz w:val="19"/>
                <w:szCs w:val="19"/>
              </w:rPr>
              <w:t xml:space="preserve">Basel traffic light validation results</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before="0"/>
            </w:pPr>
            <w:r>
              <w:rPr>
                <w:rFonts w:ascii="Arial" w:cs="Arial" w:eastAsia="Arial" w:hAnsi="Arial"/>
                <w:b/>
                <w:bCs/>
                <w:i w:val="false"/>
                <w:iCs w:val="false"/>
                <w:color w:val="1D4ED8"/>
                <w:sz w:val="19"/>
                <w:szCs w:val="19"/>
              </w:rPr>
              <w:t xml:space="preserve">DeFi Risk Model Validation Framework</w:t>
            </w:r>
          </w:p>
          <w:p>
            <w:pPr>
              <w:spacing w:before="40"/>
            </w:pPr>
            <w:r>
              <w:rPr>
                <w:rFonts w:ascii="Arial" w:cs="Arial" w:eastAsia="Arial" w:hAnsi="Arial"/>
                <w:b w:val="false"/>
                <w:bCs w:val="false"/>
                <w:i w:val="false"/>
                <w:iCs w:val="false"/>
                <w:color w:val="1E293B"/>
                <w:sz w:val="18"/>
                <w:szCs w:val="18"/>
              </w:rPr>
              <w:t xml:space="preserve">e.g. Apply SS1/23 principles to DeFi protocol risk models — liquidation, IL, AMM pricing</w:t>
            </w:r>
          </w:p>
        </w:tc>
        <w:tc>
          <w:tcPr>
            <w:tcW w:type="dxa" w:w="1800"/>
            <w:tcBorders>
              <w:top w:val="single" w:color="CBD5E1" w:sz="1"/>
              <w:left w:val="single" w:color="CBD5E1" w:sz="1"/>
              <w:bottom w:val="single" w:color="CBD5E1" w:sz="1"/>
              <w:right w:val="single" w:color="CBD5E1" w:sz="1"/>
            </w:tcBorders>
            <w:shd w:fill="FEE2E2" w:val="clear"/>
            <w:tcMar>
              <w:top w:type="dxa" w:w="90"/>
              <w:left w:type="dxa" w:w="130"/>
              <w:bottom w:type="dxa" w:w="90"/>
              <w:right w:type="dxa" w:w="130"/>
            </w:tcMar>
          </w:tcPr>
          <w:p>
            <w:pPr>
              <w:jc w:val="left"/>
            </w:pPr>
            <w:r>
              <w:rPr>
                <w:rFonts w:ascii="Arial" w:cs="Arial" w:eastAsia="Arial" w:hAnsi="Arial"/>
                <w:b w:val="false"/>
                <w:bCs w:val="false"/>
                <w:i w:val="false"/>
                <w:iCs w:val="false"/>
                <w:color w:val="991B1B"/>
                <w:sz w:val="19"/>
                <w:szCs w:val="19"/>
              </w:rPr>
              <w:t xml:space="preserve">★★☆☆☆
Low — DeFi MRM is not yet a regulated banking domain</w:t>
            </w:r>
          </w:p>
        </w:tc>
        <w:tc>
          <w:tcPr>
            <w:tcW w:type="dxa" w:w="180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
Perfect overlap with Track A</w:t>
            </w:r>
          </w:p>
        </w:tc>
        <w:tc>
          <w:tcPr>
            <w:tcW w:type="dxa" w:w="29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Interesting but not directly bankable in 6 months</w:t>
            </w:r>
          </w:p>
          <w:p>
            <w:pPr>
              <w:pStyle w:val="ListParagraph"/>
              <w:numPr>
                <w:ilvl w:val="0"/>
                <w:numId w:val="2"/>
              </w:numPr>
              <w:spacing w:before="30" w:after="30"/>
            </w:pPr>
            <w:r>
              <w:rPr>
                <w:rFonts w:ascii="Arial" w:cs="Arial" w:eastAsia="Arial" w:hAnsi="Arial"/>
                <w:color w:val="1E293B"/>
                <w:sz w:val="19"/>
                <w:szCs w:val="19"/>
              </w:rPr>
              <w:t xml:space="preserve">Only pursue if targeting crypto/DeFi risk roles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r>
              <w:rPr>
                <w:rFonts w:ascii="Arial" w:cs="Arial" w:eastAsia="Arial" w:hAnsi="Arial"/>
                <w:b/>
                <w:bCs/>
                <w:color w:val="166534"/>
                <w:sz w:val="21"/>
                <w:szCs w:val="21"/>
              </w:rPr>
              <w:t xml:space="preserve">Recommendation</w:t>
            </w:r>
          </w:p>
          <w:p>
            <w:pPr>
              <w:spacing w:before="60"/>
            </w:pPr>
            <w:r>
              <w:rPr>
                <w:rFonts w:ascii="Arial" w:cs="Arial" w:eastAsia="Arial" w:hAnsi="Arial"/>
                <w:color w:val="1E293B"/>
                <w:sz w:val="20"/>
                <w:szCs w:val="20"/>
              </w:rPr>
              <w:t xml:space="preserve">If you have any flexibility in your research topic, choose Option 1 (ML Model Validation in Credit Risk) or Option 2 (Extrapolation Risk in Financial Stress Testing). Either converges all three tracks. Option 1 is the stronger commercial bet — ML validation is the fastest-growing MRM specialisation and almost no candidates have genuine research depth in it. Option 2 is academically stronger and more novel. Both are achievable in 6 months at MSc/early PhD level.</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Month-by-Month Integrated Plan</w:t>
      </w:r>
    </w:p>
    <w:p>
      <w:pPr>
        <w:spacing w:before="60" w:after="60"/>
      </w:pPr>
      <w:r>
        <w:rPr>
          <w:rFonts w:ascii="Arial" w:cs="Arial" w:eastAsia="Arial" w:hAnsi="Arial"/>
          <w:sz w:val="21"/>
          <w:szCs w:val="21"/>
        </w:rPr>
        <w:t xml:space="preserve">Each month has three columns: what happens in the DeFi project (Track A), the academic research (Track B), and the MRM bridge work (Track C). The weekly time budget assumes roughly 10–12 hours per week available for all three tracks combined.</w:t>
      </w:r>
    </w:p>
    <w:p>
      <w:pPr>
        <w:spacing w:before="60" w:after="60"/>
      </w:pPr>
      <w:r>
        <w:t xml:space="preserve"/>
      </w:r>
    </w:p>
    <w:p>
      <w:pPr>
        <w:spacing w:before="200" w:after="80"/>
      </w:pPr>
      <w:r>
        <w:rPr>
          <w:rFonts w:ascii="Arial" w:cs="Arial" w:eastAsia="Arial" w:hAnsi="Arial"/>
          <w:b/>
          <w:bCs/>
          <w:color w:val="2E6DA4"/>
          <w:sz w:val="23"/>
          <w:szCs w:val="23"/>
        </w:rPr>
        <w:t xml:space="preserve">Month 1 — February 2026  ·  Foundation Setting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A: DeFi Project (~3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(~5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MRM Bridge (~3 hrs/wk)</w:t>
            </w:r>
          </w:p>
        </w:tc>
      </w:tr>
      <w:tr>
        <w:tc>
          <w:tcPr>
            <w:tcW w:type="dxa" w:w="312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 DeFi risk landscape research per roadmap (Aave, Compound governance).</w:t>
            </w:r>
          </w:p>
          <w:p>
            <w:pPr>
              <w:pStyle w:val="ListParagraph"/>
              <w:numPr>
                <w:ilvl w:val="0"/>
                <w:numId w:val="2"/>
              </w:numPr>
              <w:spacing w:before="30" w:after="30"/>
            </w:pPr>
            <w:r>
              <w:rPr>
                <w:rFonts w:ascii="Arial" w:cs="Arial" w:eastAsia="Arial" w:hAnsi="Arial"/>
                <w:color w:val="1E293B"/>
                <w:sz w:val="19"/>
                <w:szCs w:val="19"/>
              </w:rPr>
              <w:t xml:space="preserve">Week 2: Deep-dive on Impermanent Loss formula — understand IL = 2√r/(1+r) − 1 mathematically.</w:t>
            </w:r>
          </w:p>
          <w:p>
            <w:pPr>
              <w:pStyle w:val="ListParagraph"/>
              <w:numPr>
                <w:ilvl w:val="0"/>
                <w:numId w:val="2"/>
              </w:numPr>
              <w:spacing w:before="30" w:after="30"/>
            </w:pPr>
            <w:r>
              <w:rPr>
                <w:rFonts w:ascii="Arial" w:cs="Arial" w:eastAsia="Arial" w:hAnsi="Arial"/>
                <w:color w:val="1E293B"/>
                <w:sz w:val="19"/>
                <w:szCs w:val="19"/>
              </w:rPr>
              <w:t xml:space="preserve">Week 3–4: Python environment setup; test PySR and CoinGecko API per roadmap.</w:t>
            </w:r>
          </w:p>
          <w:p>
            <w:pPr>
              <w:pStyle w:val="ListParagraph"/>
              <w:numPr>
                <w:ilvl w:val="0"/>
                <w:numId w:val="2"/>
              </w:numPr>
              <w:spacing w:before="30" w:after="30"/>
            </w:pPr>
            <w:r>
              <w:rPr>
                <w:rFonts w:ascii="Arial" w:cs="Arial" w:eastAsia="Arial" w:hAnsi="Arial"/>
                <w:color w:val="1E293B"/>
                <w:sz w:val="19"/>
                <w:szCs w:val="19"/>
              </w:rPr>
              <w:t xml:space="preserve">END OF MONTH: IL formula understood, data pipeline working.</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Finalise research topic. If ML validation → read EBA 2022 guidelines on ML in credit. If stress testing → read IFRS 9 ECL primer (Moody's Analytics free resource).</w:t>
            </w:r>
          </w:p>
          <w:p>
            <w:pPr>
              <w:pStyle w:val="ListParagraph"/>
              <w:numPr>
                <w:ilvl w:val="0"/>
                <w:numId w:val="2"/>
              </w:numPr>
              <w:spacing w:before="30" w:after="30"/>
            </w:pPr>
            <w:r>
              <w:rPr>
                <w:rFonts w:ascii="Arial" w:cs="Arial" w:eastAsia="Arial" w:hAnsi="Arial"/>
                <w:color w:val="1E293B"/>
                <w:sz w:val="19"/>
                <w:szCs w:val="19"/>
              </w:rPr>
              <w:t xml:space="preserve">Week 3–4: Literature review begins. 10–15 papers. Build bibliography and research gap statement.</w:t>
            </w:r>
          </w:p>
          <w:p>
            <w:pPr>
              <w:pStyle w:val="ListParagraph"/>
              <w:numPr>
                <w:ilvl w:val="0"/>
                <w:numId w:val="2"/>
              </w:numPr>
              <w:spacing w:before="30" w:after="30"/>
            </w:pPr>
            <w:r>
              <w:rPr>
                <w:rFonts w:ascii="Arial" w:cs="Arial" w:eastAsia="Arial" w:hAnsi="Arial"/>
                <w:color w:val="1E293B"/>
                <w:sz w:val="19"/>
                <w:szCs w:val="19"/>
              </w:rPr>
              <w:t xml:space="preserve">END OF MONTH: Research question locked. Supervisor aligned. Dataset identified.</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 Read SS1/23 in full. Annotate every Principle against a HypatiaX equivalent.</w:t>
            </w:r>
          </w:p>
          <w:p>
            <w:pPr>
              <w:pStyle w:val="ListParagraph"/>
              <w:numPr>
                <w:ilvl w:val="0"/>
                <w:numId w:val="2"/>
              </w:numPr>
              <w:spacing w:before="30" w:after="30"/>
            </w:pPr>
            <w:r>
              <w:rPr>
                <w:rFonts w:ascii="Arial" w:cs="Arial" w:eastAsia="Arial" w:hAnsi="Arial"/>
                <w:color w:val="1E293B"/>
                <w:sz w:val="19"/>
                <w:szCs w:val="19"/>
              </w:rPr>
              <w:t xml:space="preserve">Week 2: Write the 1-page Conceptual Soundness Assessment for HypatiaX (Artefact 1 from previous doc). 3 hours.</w:t>
            </w:r>
          </w:p>
          <w:p>
            <w:pPr>
              <w:pStyle w:val="ListParagraph"/>
              <w:numPr>
                <w:ilvl w:val="0"/>
                <w:numId w:val="2"/>
              </w:numPr>
              <w:spacing w:before="30" w:after="30"/>
            </w:pPr>
            <w:r>
              <w:rPr>
                <w:rFonts w:ascii="Arial" w:cs="Arial" w:eastAsia="Arial" w:hAnsi="Arial"/>
                <w:color w:val="1E293B"/>
                <w:sz w:val="19"/>
                <w:szCs w:val="19"/>
              </w:rPr>
              <w:t xml:space="preserve">Week 3–4: Write the 1-page Mock Validation Summary for Impermanent Loss (Artefact 2). 2 hours.</w:t>
            </w:r>
          </w:p>
          <w:p>
            <w:pPr>
              <w:pStyle w:val="ListParagraph"/>
              <w:numPr>
                <w:ilvl w:val="0"/>
                <w:numId w:val="2"/>
              </w:numPr>
              <w:spacing w:before="30" w:after="30"/>
            </w:pPr>
            <w:r>
              <w:rPr>
                <w:rFonts w:ascii="Arial" w:cs="Arial" w:eastAsia="Arial" w:hAnsi="Arial"/>
                <w:color w:val="1E293B"/>
                <w:sz w:val="19"/>
                <w:szCs w:val="19"/>
              </w:rPr>
              <w:t xml:space="preserve">END OF MONTH: Artefacts 1 and 2 complete. SS1/23 annotated.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Month 1 Key Output</w:t>
            </w:r>
          </w:p>
          <w:p>
            <w:pPr>
              <w:spacing w:before="60"/>
            </w:pPr>
            <w:r>
              <w:rPr>
                <w:rFonts w:ascii="Arial" w:cs="Arial" w:eastAsia="Arial" w:hAnsi="Arial"/>
                <w:color w:val="1E293B"/>
                <w:sz w:val="20"/>
                <w:szCs w:val="20"/>
              </w:rPr>
              <w:t xml:space="preserve">SS1/23 annotated. Two MRM artefacts drafted. DeFi Week 1–2 complete. Research topic locked. These two artefacts alone mean you can answer an MRM interview question on validation format from Month 1 onwards.</w:t>
            </w:r>
          </w:p>
        </w:tc>
      </w:tr>
    </w:tbl>
    <w:p>
      <w:pPr>
        <w:spacing w:before="60" w:after="60"/>
      </w:pPr>
      <w:r>
        <w:t xml:space="preserve"/>
      </w:r>
    </w:p>
    <w:p>
      <w:pPr>
        <w:spacing w:before="200" w:after="80"/>
      </w:pPr>
      <w:r>
        <w:rPr>
          <w:rFonts w:ascii="Arial" w:cs="Arial" w:eastAsia="Arial" w:hAnsi="Arial"/>
          <w:b/>
          <w:bCs/>
          <w:color w:val="2E6DA4"/>
          <w:sz w:val="23"/>
          <w:szCs w:val="23"/>
        </w:rPr>
        <w:t xml:space="preserve">Month 2 — March 2026  ·  First Real Financial Validation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A: DeFi Project (~3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(~5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MRM Bridge (~3 hrs/wk)</w:t>
            </w:r>
          </w:p>
        </w:tc>
      </w:tr>
      <w:tr>
        <w:tc>
          <w:tcPr>
            <w:tcW w:type="dxa" w:w="312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Use HypatiaX hybrid approach to discover IL formula from CoinGecko data. Document R² and extrapolation results.</w:t>
            </w:r>
          </w:p>
          <w:p>
            <w:pPr>
              <w:pStyle w:val="ListParagraph"/>
              <w:numPr>
                <w:ilvl w:val="0"/>
                <w:numId w:val="2"/>
              </w:numPr>
              <w:spacing w:before="30" w:after="30"/>
            </w:pPr>
            <w:r>
              <w:rPr>
                <w:rFonts w:ascii="Arial" w:cs="Arial" w:eastAsia="Arial" w:hAnsi="Arial"/>
                <w:color w:val="1E293B"/>
                <w:sz w:val="19"/>
                <w:szCs w:val="19"/>
              </w:rPr>
              <w:t xml:space="preserve">Week 3: Attempt second formula — VaR or Expected Shortfall from DeFi liquidation data.</w:t>
            </w:r>
          </w:p>
          <w:p>
            <w:pPr>
              <w:pStyle w:val="ListParagraph"/>
              <w:numPr>
                <w:ilvl w:val="0"/>
                <w:numId w:val="2"/>
              </w:numPr>
              <w:spacing w:before="30" w:after="30"/>
            </w:pPr>
            <w:r>
              <w:rPr>
                <w:rFonts w:ascii="Arial" w:cs="Arial" w:eastAsia="Arial" w:hAnsi="Arial"/>
                <w:color w:val="1E293B"/>
                <w:sz w:val="19"/>
                <w:szCs w:val="19"/>
              </w:rPr>
              <w:t xml:space="preserve">Week 4: Create interactive demo. Write professional documentation of discovery process.</w:t>
            </w:r>
          </w:p>
          <w:p>
            <w:pPr>
              <w:pStyle w:val="ListParagraph"/>
              <w:numPr>
                <w:ilvl w:val="0"/>
                <w:numId w:val="2"/>
              </w:numPr>
              <w:spacing w:before="30" w:after="30"/>
            </w:pPr>
            <w:r>
              <w:rPr>
                <w:rFonts w:ascii="Arial" w:cs="Arial" w:eastAsia="Arial" w:hAnsi="Arial"/>
                <w:color w:val="1E293B"/>
                <w:sz w:val="19"/>
                <w:szCs w:val="19"/>
              </w:rPr>
              <w:t xml:space="preserve">END OF MONTH: IL formula discovered and validated. Demo ready. R² &gt; 0.90 achieved.</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Data collection and cleaning for research dataset. For ML validation: source UCI credit dataset or Lending Club. For stress testing: source macro data from BIS/ECB.</w:t>
            </w:r>
          </w:p>
          <w:p>
            <w:pPr>
              <w:pStyle w:val="ListParagraph"/>
              <w:numPr>
                <w:ilvl w:val="0"/>
                <w:numId w:val="2"/>
              </w:numPr>
              <w:spacing w:before="30" w:after="30"/>
            </w:pPr>
            <w:r>
              <w:rPr>
                <w:rFonts w:ascii="Arial" w:cs="Arial" w:eastAsia="Arial" w:hAnsi="Arial"/>
                <w:color w:val="1E293B"/>
                <w:sz w:val="19"/>
                <w:szCs w:val="19"/>
              </w:rPr>
              <w:t xml:space="preserve">Week 3–4: Exploratory data analysis. Build baseline model (logistic regression or simple ECL). Document data quality issues — this is model risk in practice.</w:t>
            </w:r>
          </w:p>
          <w:p>
            <w:pPr>
              <w:pStyle w:val="ListParagraph"/>
              <w:numPr>
                <w:ilvl w:val="0"/>
                <w:numId w:val="2"/>
              </w:numPr>
              <w:spacing w:before="30" w:after="30"/>
            </w:pPr>
            <w:r>
              <w:rPr>
                <w:rFonts w:ascii="Arial" w:cs="Arial" w:eastAsia="Arial" w:hAnsi="Arial"/>
                <w:color w:val="1E293B"/>
                <w:sz w:val="19"/>
                <w:szCs w:val="19"/>
              </w:rPr>
              <w:t xml:space="preserve">END OF MONTH: Clean dataset. Baseline model running. First results section drafted.</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Build VaR backtesting engine in Python (Artefact 3). Apply to S&amp;P 500 daily returns. Compute Basel traffic light exceptions. 4 hours total.</w:t>
            </w:r>
          </w:p>
          <w:p>
            <w:pPr>
              <w:pStyle w:val="ListParagraph"/>
              <w:numPr>
                <w:ilvl w:val="0"/>
                <w:numId w:val="2"/>
              </w:numPr>
              <w:spacing w:before="30" w:after="30"/>
            </w:pPr>
            <w:r>
              <w:rPr>
                <w:rFonts w:ascii="Arial" w:cs="Arial" w:eastAsia="Arial" w:hAnsi="Arial"/>
                <w:color w:val="1E293B"/>
                <w:sz w:val="19"/>
                <w:szCs w:val="19"/>
              </w:rPr>
              <w:t xml:space="preserve">Week 3–4: Read SR 11-7 in full. Map its three elements (Conceptual Soundness, Ongoing Monitoring, Outcomes Analysis) to your HypatiaX validation layers explicitly.</w:t>
            </w:r>
          </w:p>
          <w:p>
            <w:pPr>
              <w:pStyle w:val="ListParagraph"/>
              <w:numPr>
                <w:ilvl w:val="0"/>
                <w:numId w:val="2"/>
              </w:numPr>
              <w:spacing w:before="30" w:after="30"/>
            </w:pPr>
            <w:r>
              <w:rPr>
                <w:rFonts w:ascii="Arial" w:cs="Arial" w:eastAsia="Arial" w:hAnsi="Arial"/>
                <w:color w:val="1E293B"/>
                <w:sz w:val="19"/>
                <w:szCs w:val="19"/>
              </w:rPr>
              <w:t xml:space="preserve">END OF MONTH: VaR backtesting engine complete and documented. SR 11-7 mapped.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Month 2 Key Output</w:t>
            </w:r>
          </w:p>
          <w:p>
            <w:pPr>
              <w:spacing w:before="60"/>
            </w:pPr>
            <w:r>
              <w:rPr>
                <w:rFonts w:ascii="Arial" w:cs="Arial" w:eastAsia="Arial" w:hAnsi="Arial"/>
                <w:color w:val="1E293B"/>
                <w:sz w:val="20"/>
                <w:szCs w:val="20"/>
              </w:rPr>
              <w:t xml:space="preserve">VaR backtesting engine in Python with real financial data (Artefact 3 — the most bankable single piece of work in the plan). DeFi IL formula discovered. Research baseline model running.</w:t>
            </w:r>
          </w:p>
        </w:tc>
      </w:tr>
    </w:tbl>
    <w:p>
      <w:pPr>
        <w:spacing w:before="60" w:after="60"/>
      </w:pPr>
      <w:r>
        <w:t xml:space="preserve"/>
      </w:r>
    </w:p>
    <w:p>
      <w:pPr>
        <w:spacing w:before="200" w:after="80"/>
      </w:pPr>
      <w:r>
        <w:rPr>
          <w:rFonts w:ascii="Arial" w:cs="Arial" w:eastAsia="Arial" w:hAnsi="Arial"/>
          <w:b/>
          <w:bCs/>
          <w:color w:val="2E6DA4"/>
          <w:sz w:val="23"/>
          <w:szCs w:val="23"/>
        </w:rPr>
        <w:t xml:space="preserve">Month 3 — April 2026  ·  Independent Validation + Research Depth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A: DeFi Project (~2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(~6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MRM Bridge (~4 hrs/wk)</w:t>
            </w:r>
          </w:p>
        </w:tc>
      </w:tr>
      <w:tr>
        <w:tc>
          <w:tcPr>
            <w:tcW w:type="dxa" w:w="312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DeFi project winds down. Finalise second formula (ES or liquidation model).</w:t>
            </w:r>
          </w:p>
          <w:p>
            <w:pPr>
              <w:pStyle w:val="ListParagraph"/>
              <w:numPr>
                <w:ilvl w:val="0"/>
                <w:numId w:val="2"/>
              </w:numPr>
              <w:spacing w:before="30" w:after="30"/>
            </w:pPr>
            <w:r>
              <w:rPr>
                <w:rFonts w:ascii="Arial" w:cs="Arial" w:eastAsia="Arial" w:hAnsi="Arial"/>
                <w:color w:val="1E293B"/>
                <w:sz w:val="19"/>
                <w:szCs w:val="19"/>
              </w:rPr>
              <w:t xml:space="preserve">Write DeFi project report — but frame it as a validation report, not a research paper. Use SS1/23 section headings.</w:t>
            </w:r>
          </w:p>
          <w:p>
            <w:pPr>
              <w:pStyle w:val="ListParagraph"/>
              <w:numPr>
                <w:ilvl w:val="0"/>
                <w:numId w:val="2"/>
              </w:numPr>
              <w:spacing w:before="30" w:after="30"/>
            </w:pPr>
            <w:r>
              <w:rPr>
                <w:rFonts w:ascii="Arial" w:cs="Arial" w:eastAsia="Arial" w:hAnsi="Arial"/>
                <w:color w:val="1E293B"/>
                <w:sz w:val="19"/>
                <w:szCs w:val="19"/>
              </w:rPr>
              <w:t xml:space="preserve">END OF MONTH: DeFi project complete. Report written in validation format.</w:t>
            </w:r>
          </w:p>
          <w:p>
            <w:pPr>
              <w:pStyle w:val="ListParagraph"/>
              <w:numPr>
                <w:ilvl w:val="0"/>
                <w:numId w:val="2"/>
              </w:numPr>
              <w:spacing w:before="30" w:after="30"/>
            </w:pPr>
            <w:r>
              <w:rPr>
                <w:rFonts w:ascii="Arial" w:cs="Arial" w:eastAsia="Arial" w:hAnsi="Arial"/>
                <w:color w:val="1E293B"/>
                <w:sz w:val="19"/>
                <w:szCs w:val="19"/>
              </w:rPr>
              <w:t xml:space="preserve">NOTE: The DeFi report IS Artefact 2 extended — same work, dual purpose.</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Build the main model (XGBoost PD model or IFRS 9 ECL model depending on topic).</w:t>
            </w:r>
          </w:p>
          <w:p>
            <w:pPr>
              <w:pStyle w:val="ListParagraph"/>
              <w:numPr>
                <w:ilvl w:val="0"/>
                <w:numId w:val="2"/>
              </w:numPr>
              <w:spacing w:before="30" w:after="30"/>
            </w:pPr>
            <w:r>
              <w:rPr>
                <w:rFonts w:ascii="Arial" w:cs="Arial" w:eastAsia="Arial" w:hAnsi="Arial"/>
                <w:color w:val="1E293B"/>
                <w:sz w:val="19"/>
                <w:szCs w:val="19"/>
              </w:rPr>
              <w:t xml:space="preserve">Week 3–4: Run OOT (out-of-time) validation. Compute AUC, Gini, KS, PSI. For ECL: stress macro inputs and measure ECL sensitivity.</w:t>
            </w:r>
          </w:p>
          <w:p>
            <w:pPr>
              <w:pStyle w:val="ListParagraph"/>
              <w:numPr>
                <w:ilvl w:val="0"/>
                <w:numId w:val="2"/>
              </w:numPr>
              <w:spacing w:before="30" w:after="30"/>
            </w:pPr>
            <w:r>
              <w:rPr>
                <w:rFonts w:ascii="Arial" w:cs="Arial" w:eastAsia="Arial" w:hAnsi="Arial"/>
                <w:color w:val="1E293B"/>
                <w:sz w:val="19"/>
                <w:szCs w:val="19"/>
              </w:rPr>
              <w:t xml:space="preserve">END OF MONTH: Core experimental results complete. This is now also MRM Artefact 4 (monitoring framework with PSI thresholds).</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1–2: Identify an open-source financial model on GitHub to validate independently. Best options: a Python VaR engine, scikit-learn credit scorecard, or Black-Scholes pricer.</w:t>
            </w:r>
          </w:p>
          <w:p>
            <w:pPr>
              <w:pStyle w:val="ListParagraph"/>
              <w:numPr>
                <w:ilvl w:val="0"/>
                <w:numId w:val="2"/>
              </w:numPr>
              <w:spacing w:before="30" w:after="30"/>
            </w:pPr>
            <w:r>
              <w:rPr>
                <w:rFonts w:ascii="Arial" w:cs="Arial" w:eastAsia="Arial" w:hAnsi="Arial"/>
                <w:color w:val="1E293B"/>
                <w:sz w:val="19"/>
                <w:szCs w:val="19"/>
              </w:rPr>
              <w:t xml:space="preserve">Week 3–4: Execute independent validation. Write 3–4 page report in SS1/23 Principle 4 format: conceptual soundness, outcome analysis, risk rating, findings, disposition.</w:t>
            </w:r>
          </w:p>
          <w:p>
            <w:pPr>
              <w:pStyle w:val="ListParagraph"/>
              <w:numPr>
                <w:ilvl w:val="0"/>
                <w:numId w:val="2"/>
              </w:numPr>
              <w:spacing w:before="30" w:after="30"/>
            </w:pPr>
            <w:r>
              <w:rPr>
                <w:rFonts w:ascii="Arial" w:cs="Arial" w:eastAsia="Arial" w:hAnsi="Arial"/>
                <w:color w:val="1E293B"/>
                <w:sz w:val="19"/>
                <w:szCs w:val="19"/>
              </w:rPr>
              <w:t xml:space="preserve">END OF MONTH: Artefact 5 (independent validation report) complete. This is the single most important portfolio piece.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r>
              <w:rPr>
                <w:rFonts w:ascii="Arial" w:cs="Arial" w:eastAsia="Arial" w:hAnsi="Arial"/>
                <w:b/>
                <w:bCs/>
                <w:color w:val="166534"/>
                <w:sz w:val="21"/>
                <w:szCs w:val="21"/>
              </w:rPr>
              <w:t xml:space="preserve">Month 3 Key Output</w:t>
            </w:r>
          </w:p>
          <w:p>
            <w:pPr>
              <w:spacing w:before="60"/>
            </w:pPr>
            <w:r>
              <w:rPr>
                <w:rFonts w:ascii="Arial" w:cs="Arial" w:eastAsia="Arial" w:hAnsi="Arial"/>
                <w:color w:val="1E293B"/>
                <w:sz w:val="20"/>
                <w:szCs w:val="20"/>
              </w:rPr>
              <w:t xml:space="preserve">All 5 MRM artefacts complete by end of Month 3. DeFi project finished. Academic research producing real validation results. You are now MRM-interview-ready on artefacts — the remaining 3 months deepen domain knowledge and enable applications.</w:t>
            </w:r>
          </w:p>
        </w:tc>
      </w:tr>
    </w:tbl>
    <w:p>
      <w:pPr>
        <w:spacing w:before="60" w:after="60"/>
      </w:pPr>
      <w:r>
        <w:t xml:space="preserve"/>
      </w:r>
    </w:p>
    <w:p>
      <w:pPr>
        <w:spacing w:before="200" w:after="80"/>
      </w:pPr>
      <w:r>
        <w:rPr>
          <w:rFonts w:ascii="Arial" w:cs="Arial" w:eastAsia="Arial" w:hAnsi="Arial"/>
          <w:b/>
          <w:bCs/>
          <w:color w:val="2E6DA4"/>
          <w:sz w:val="23"/>
          <w:szCs w:val="23"/>
        </w:rPr>
        <w:t xml:space="preserve">Month 4 — May 2026  ·  Domain Knowledge + Network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A: DeFi (Complete ✓)</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(~7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MRM Applications (~5 hrs/wk)</w:t>
            </w:r>
          </w:p>
        </w:tc>
      </w:tr>
      <w:tr>
        <w:tc>
          <w:tcPr>
            <w:tcW w:type="dxa" w:w="31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Track A is complete. Use freed hours (2–3 hrs/wk) for domain study below.</w:t>
            </w:r>
          </w:p>
          <w:p>
            <w:pPr>
              <w:pStyle w:val="ListParagraph"/>
              <w:numPr>
                <w:ilvl w:val="0"/>
                <w:numId w:val="2"/>
              </w:numPr>
              <w:spacing w:before="30" w:after="30"/>
            </w:pPr>
            <w:r>
              <w:rPr>
                <w:rFonts w:ascii="Arial" w:cs="Arial" w:eastAsia="Arial" w:hAnsi="Arial"/>
                <w:color w:val="1E293B"/>
                <w:sz w:val="19"/>
                <w:szCs w:val="19"/>
              </w:rPr>
              <w:t xml:space="preserve">Study: Hull 'Risk Management and Financial Institutions' Ch. 12–15 (market risk fundamentals). Use DeFi VaR work as the bridge — your VaR formula recovery becomes a worked example.</w:t>
            </w:r>
          </w:p>
          <w:p>
            <w:pPr>
              <w:pStyle w:val="ListParagraph"/>
              <w:numPr>
                <w:ilvl w:val="0"/>
                <w:numId w:val="2"/>
              </w:numPr>
              <w:spacing w:before="30" w:after="30"/>
            </w:pPr>
            <w:r>
              <w:rPr>
                <w:rFonts w:ascii="Arial" w:cs="Arial" w:eastAsia="Arial" w:hAnsi="Arial"/>
                <w:color w:val="1E293B"/>
                <w:sz w:val="19"/>
                <w:szCs w:val="19"/>
              </w:rPr>
              <w:t xml:space="preserve">Study: IRB credit risk basics — PD, LGD, EAD. Read BIS Basel III Chapter 6 (free online). 1 chapter/week.</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Weeks 1–3: Write up results chapter. Include validation performance tables, OOT results, and stress test outcomes.</w:t>
            </w:r>
          </w:p>
          <w:p>
            <w:pPr>
              <w:pStyle w:val="ListParagraph"/>
              <w:numPr>
                <w:ilvl w:val="0"/>
                <w:numId w:val="2"/>
              </w:numPr>
              <w:spacing w:before="30" w:after="30"/>
            </w:pPr>
            <w:r>
              <w:rPr>
                <w:rFonts w:ascii="Arial" w:cs="Arial" w:eastAsia="Arial" w:hAnsi="Arial"/>
                <w:color w:val="1E293B"/>
                <w:sz w:val="19"/>
                <w:szCs w:val="19"/>
              </w:rPr>
              <w:t xml:space="preserve">Week 4: Begin discussion chapter — frame findings in terms of MRM implications. What should a validator do when PSI exceeds 0.2? When OOT AUC drops &gt; 5 points?</w:t>
            </w:r>
          </w:p>
          <w:p>
            <w:pPr>
              <w:pStyle w:val="ListParagraph"/>
              <w:numPr>
                <w:ilvl w:val="0"/>
                <w:numId w:val="2"/>
              </w:numPr>
              <w:spacing w:before="30" w:after="30"/>
            </w:pPr>
            <w:r>
              <w:rPr>
                <w:rFonts w:ascii="Arial" w:cs="Arial" w:eastAsia="Arial" w:hAnsi="Arial"/>
                <w:color w:val="1E293B"/>
                <w:sz w:val="19"/>
                <w:szCs w:val="19"/>
              </w:rPr>
              <w:t xml:space="preserve">END OF MONTH: Draft results and discussion chapters complete.</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 Publish your VaR backtesting engine on GitHub with a clean README. Frame it explicitly as a model validation tool.</w:t>
            </w:r>
          </w:p>
          <w:p>
            <w:pPr>
              <w:pStyle w:val="ListParagraph"/>
              <w:numPr>
                <w:ilvl w:val="0"/>
                <w:numId w:val="2"/>
              </w:numPr>
              <w:spacing w:before="30" w:after="30"/>
            </w:pPr>
            <w:r>
              <w:rPr>
                <w:rFonts w:ascii="Arial" w:cs="Arial" w:eastAsia="Arial" w:hAnsi="Arial"/>
                <w:color w:val="1E293B"/>
                <w:sz w:val="19"/>
                <w:szCs w:val="19"/>
              </w:rPr>
              <w:t xml:space="preserve">Week 2: Write a 600-word LinkedIn article: 'What symbolic regression taught me about model validation.' Reference HypatiaX + SS1/23. This is your MRM market signal.</w:t>
            </w:r>
          </w:p>
          <w:p>
            <w:pPr>
              <w:pStyle w:val="ListParagraph"/>
              <w:numPr>
                <w:ilvl w:val="0"/>
                <w:numId w:val="2"/>
              </w:numPr>
              <w:spacing w:before="30" w:after="30"/>
            </w:pPr>
            <w:r>
              <w:rPr>
                <w:rFonts w:ascii="Arial" w:cs="Arial" w:eastAsia="Arial" w:hAnsi="Arial"/>
                <w:color w:val="1E293B"/>
                <w:sz w:val="19"/>
                <w:szCs w:val="19"/>
              </w:rPr>
              <w:t xml:space="preserve">Week 3–4: Begin targeted outreach. 5 informational conversations with VP-level MRM practitioners. Use LinkedIn. Reference your published work and the JMLR paper.</w:t>
            </w:r>
          </w:p>
          <w:p>
            <w:pPr>
              <w:pStyle w:val="ListParagraph"/>
              <w:numPr>
                <w:ilvl w:val="0"/>
                <w:numId w:val="2"/>
              </w:numPr>
              <w:spacing w:before="30" w:after="30"/>
            </w:pPr>
            <w:r>
              <w:rPr>
                <w:rFonts w:ascii="Arial" w:cs="Arial" w:eastAsia="Arial" w:hAnsi="Arial"/>
                <w:color w:val="1E293B"/>
                <w:sz w:val="19"/>
                <w:szCs w:val="19"/>
              </w:rPr>
              <w:t xml:space="preserve">START CV AND COVER LETTER DRAFTING.</w:t>
            </w:r>
          </w:p>
        </w:tc>
      </w:tr>
    </w:tbl>
    <w:p>
      <w:pPr>
        <w:spacing w:before="60" w:after="60"/>
      </w:pPr>
      <w:r>
        <w:t xml:space="preserve"/>
      </w:r>
    </w:p>
    <w:p>
      <w:pPr>
        <w:spacing w:before="200" w:after="80"/>
      </w:pPr>
      <w:r>
        <w:rPr>
          <w:rFonts w:ascii="Arial" w:cs="Arial" w:eastAsia="Arial" w:hAnsi="Arial"/>
          <w:b/>
          <w:bCs/>
          <w:color w:val="2E6DA4"/>
          <w:sz w:val="23"/>
          <w:szCs w:val="23"/>
        </w:rPr>
        <w:t xml:space="preserve">Month 5 — June 2026  ·  Interview Preparation + Applications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Domain Study (~4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(~5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Applications (~5 hrs/wk)</w:t>
            </w:r>
          </w:p>
        </w:tc>
      </w:tr>
      <w:tr>
        <w:tc>
          <w:tcPr>
            <w:tcW w:type="dxa" w:w="31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Study: FRTB fundamentals — IMA vs. SA, backtesting under FRTB, liquidity horizons. Resource: BIS FRTB final rule (free). Focus on the validation implications, not the full capital framework.</w:t>
            </w:r>
          </w:p>
          <w:p>
            <w:pPr>
              <w:pStyle w:val="ListParagraph"/>
              <w:numPr>
                <w:ilvl w:val="0"/>
                <w:numId w:val="2"/>
              </w:numPr>
              <w:spacing w:before="30" w:after="30"/>
            </w:pPr>
            <w:r>
              <w:rPr>
                <w:rFonts w:ascii="Arial" w:cs="Arial" w:eastAsia="Arial" w:hAnsi="Arial"/>
                <w:color w:val="1E293B"/>
                <w:sz w:val="19"/>
                <w:szCs w:val="19"/>
              </w:rPr>
              <w:t xml:space="preserve">Study: IFRS 9 ECL — staging (S1/S2/S3), PiT PD, forward-looking macro overlays. Resource: KPMG IFRS 9 guide (free PDF).</w:t>
            </w:r>
          </w:p>
          <w:p>
            <w:pPr>
              <w:pStyle w:val="ListParagraph"/>
              <w:numPr>
                <w:ilvl w:val="0"/>
                <w:numId w:val="2"/>
              </w:numPr>
              <w:spacing w:before="30" w:after="30"/>
            </w:pPr>
            <w:r>
              <w:rPr>
                <w:rFonts w:ascii="Arial" w:cs="Arial" w:eastAsia="Arial" w:hAnsi="Arial"/>
                <w:color w:val="1E293B"/>
                <w:sz w:val="19"/>
                <w:szCs w:val="19"/>
              </w:rPr>
              <w:t xml:space="preserve">Practise technical interview answers: 15 standard MRM interview questions. Written answers first, then spoken.</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1–3: Finalise academic paper/dissertation draft. Submit to supervisor.</w:t>
            </w:r>
          </w:p>
          <w:p>
            <w:pPr>
              <w:pStyle w:val="ListParagraph"/>
              <w:numPr>
                <w:ilvl w:val="0"/>
                <w:numId w:val="2"/>
              </w:numPr>
              <w:spacing w:before="30" w:after="30"/>
            </w:pPr>
            <w:r>
              <w:rPr>
                <w:rFonts w:ascii="Arial" w:cs="Arial" w:eastAsia="Arial" w:hAnsi="Arial"/>
                <w:color w:val="1E293B"/>
                <w:sz w:val="19"/>
                <w:szCs w:val="19"/>
              </w:rPr>
              <w:t xml:space="preserve">Week 4: Address supervisor feedback. Revise methodology and results sections.</w:t>
            </w:r>
          </w:p>
          <w:p>
            <w:pPr>
              <w:pStyle w:val="ListParagraph"/>
              <w:numPr>
                <w:ilvl w:val="0"/>
                <w:numId w:val="2"/>
              </w:numPr>
              <w:spacing w:before="30" w:after="30"/>
            </w:pPr>
            <w:r>
              <w:rPr>
                <w:rFonts w:ascii="Arial" w:cs="Arial" w:eastAsia="Arial" w:hAnsi="Arial"/>
                <w:color w:val="1E293B"/>
                <w:sz w:val="19"/>
                <w:szCs w:val="19"/>
              </w:rPr>
              <w:t xml:space="preserve">END OF MONTH: Near-final draft submitted. Research findings are now a live portfolio piece — reference them in applications.</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Week 1: Finalise CV and cover letter. Lead with JMLR paper + five MRM artefacts + VaR backtesting engine.</w:t>
            </w:r>
          </w:p>
          <w:p>
            <w:pPr>
              <w:pStyle w:val="ListParagraph"/>
              <w:numPr>
                <w:ilvl w:val="0"/>
                <w:numId w:val="2"/>
              </w:numPr>
              <w:spacing w:before="30" w:after="30"/>
            </w:pPr>
            <w:r>
              <w:rPr>
                <w:rFonts w:ascii="Arial" w:cs="Arial" w:eastAsia="Arial" w:hAnsi="Arial"/>
                <w:color w:val="1E293B"/>
                <w:sz w:val="19"/>
                <w:szCs w:val="19"/>
              </w:rPr>
              <w:t xml:space="preserve">Week 2–4: Submit applications to target roles. Priority: VP Model Validator at UK banks (HSBC, Barclays, NatWest, Lloyds, Standard Chartered) and risk consultancies (KPMG, Deloitte, Oliver Wyman, Accenture risk practice).</w:t>
            </w:r>
          </w:p>
          <w:p>
            <w:pPr>
              <w:pStyle w:val="ListParagraph"/>
              <w:numPr>
                <w:ilvl w:val="0"/>
                <w:numId w:val="2"/>
              </w:numPr>
              <w:spacing w:before="30" w:after="30"/>
            </w:pPr>
            <w:r>
              <w:rPr>
                <w:rFonts w:ascii="Arial" w:cs="Arial" w:eastAsia="Arial" w:hAnsi="Arial"/>
                <w:color w:val="1E293B"/>
                <w:sz w:val="19"/>
                <w:szCs w:val="19"/>
              </w:rPr>
              <w:t xml:space="preserve">Target 8–10 applications. Quality over volume — tailored cover letters referencing specific bank's model risk challenges.</w:t>
            </w:r>
          </w:p>
        </w:tc>
      </w:tr>
    </w:tbl>
    <w:p>
      <w:pPr>
        <w:spacing w:before="60" w:after="60"/>
      </w:pPr>
      <w:r>
        <w:t xml:space="preserve"/>
      </w:r>
    </w:p>
    <w:p>
      <w:pPr>
        <w:spacing w:before="200" w:after="80"/>
      </w:pPr>
      <w:r>
        <w:rPr>
          <w:rFonts w:ascii="Arial" w:cs="Arial" w:eastAsia="Arial" w:hAnsi="Arial"/>
          <w:b/>
          <w:bCs/>
          <w:color w:val="2E6DA4"/>
          <w:sz w:val="23"/>
          <w:szCs w:val="23"/>
        </w:rPr>
        <w:t xml:space="preserve">Month 6 — July/August 2026  ·  Interviews + Offer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Interview Prep (~4 hrs/wk)</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Academic Research (submit)</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Active Interviews</w:t>
            </w:r>
          </w:p>
        </w:tc>
      </w:tr>
      <w:tr>
        <w:tc>
          <w:tcPr>
            <w:tcW w:type="dxa" w:w="31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Practise live: mock interviews with MRM practitioners from network (ask 2 contacts from Month 4).</w:t>
            </w:r>
          </w:p>
          <w:p>
            <w:pPr>
              <w:pStyle w:val="ListParagraph"/>
              <w:numPr>
                <w:ilvl w:val="0"/>
                <w:numId w:val="2"/>
              </w:numPr>
              <w:spacing w:before="30" w:after="30"/>
            </w:pPr>
            <w:r>
              <w:rPr>
                <w:rFonts w:ascii="Arial" w:cs="Arial" w:eastAsia="Arial" w:hAnsi="Arial"/>
                <w:color w:val="1E293B"/>
                <w:sz w:val="19"/>
                <w:szCs w:val="19"/>
              </w:rPr>
              <w:t xml:space="preserve">Technical prep: be able to explain (a) how to validate a PD model, (b) what backtesting failure means, (c) how SHAP works and its limitations, (d) what SS1/23 Principle 4 requires.</w:t>
            </w:r>
          </w:p>
          <w:p>
            <w:pPr>
              <w:pStyle w:val="ListParagraph"/>
              <w:numPr>
                <w:ilvl w:val="0"/>
                <w:numId w:val="2"/>
              </w:numPr>
              <w:spacing w:before="30" w:after="30"/>
            </w:pPr>
            <w:r>
              <w:rPr>
                <w:rFonts w:ascii="Arial" w:cs="Arial" w:eastAsia="Arial" w:hAnsi="Arial"/>
                <w:color w:val="1E293B"/>
                <w:sz w:val="19"/>
                <w:szCs w:val="19"/>
              </w:rPr>
              <w:t xml:space="preserve">Prepare 3 portfolio pieces to bring to interview: Artefact 3 (VaR backtester), Artefact 5 (independent validation report), research paper.</w:t>
            </w:r>
          </w:p>
        </w:tc>
        <w:tc>
          <w:tcPr>
            <w:tcW w:type="dxa" w:w="3120"/>
            <w:tcBorders>
              <w:top w:val="single" w:color="CBD5E1" w:sz="1"/>
              <w:left w:val="single" w:color="CBD5E1" w:sz="1"/>
              <w:bottom w:val="single" w:color="CBD5E1" w:sz="1"/>
              <w:right w:val="single" w:color="CBD5E1" w:sz="1"/>
            </w:tcBorders>
            <w:shd w:fill="DCFCE7"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Final submission of academic dissertation/paper.</w:t>
            </w:r>
          </w:p>
          <w:p>
            <w:pPr>
              <w:pStyle w:val="ListParagraph"/>
              <w:numPr>
                <w:ilvl w:val="0"/>
                <w:numId w:val="2"/>
              </w:numPr>
              <w:spacing w:before="30" w:after="30"/>
            </w:pPr>
            <w:r>
              <w:rPr>
                <w:rFonts w:ascii="Arial" w:cs="Arial" w:eastAsia="Arial" w:hAnsi="Arial"/>
                <w:color w:val="1E293B"/>
                <w:sz w:val="19"/>
                <w:szCs w:val="19"/>
              </w:rPr>
              <w:t xml:space="preserve">If JMLR decision received: use in applications immediately.</w:t>
            </w:r>
          </w:p>
          <w:p>
            <w:pPr>
              <w:pStyle w:val="ListParagraph"/>
              <w:numPr>
                <w:ilvl w:val="0"/>
                <w:numId w:val="2"/>
              </w:numPr>
              <w:spacing w:before="30" w:after="30"/>
            </w:pPr>
            <w:r>
              <w:rPr>
                <w:rFonts w:ascii="Arial" w:cs="Arial" w:eastAsia="Arial" w:hAnsi="Arial"/>
                <w:color w:val="1E293B"/>
                <w:sz w:val="19"/>
                <w:szCs w:val="19"/>
              </w:rPr>
              <w:t xml:space="preserve">If still under review: reference 'under review at JMLR' — this is a credible signal at VP level.</w:t>
            </w:r>
          </w:p>
        </w:tc>
        <w:tc>
          <w:tcPr>
            <w:tcW w:type="dxa" w:w="3120"/>
            <w:tcBorders>
              <w:top w:val="single" w:color="CBD5E1" w:sz="1"/>
              <w:left w:val="single" w:color="CBD5E1" w:sz="1"/>
              <w:bottom w:val="single" w:color="CBD5E1" w:sz="1"/>
              <w:right w:val="single" w:color="CBD5E1" w:sz="1"/>
            </w:tcBorders>
            <w:shd w:fill="FEF9C3" w:val="clear"/>
            <w:tcMar>
              <w:top w:type="dxa" w:w="90"/>
              <w:left w:type="dxa" w:w="130"/>
              <w:bottom w:type="dxa" w:w="90"/>
              <w:right w:type="dxa" w:w="130"/>
            </w:tcMar>
          </w:tcPr>
          <w:p>
            <w:pPr>
              <w:pStyle w:val="ListParagraph"/>
              <w:numPr>
                <w:ilvl w:val="0"/>
                <w:numId w:val="2"/>
              </w:numPr>
              <w:spacing w:before="30" w:after="30"/>
            </w:pPr>
            <w:r>
              <w:rPr>
                <w:rFonts w:ascii="Arial" w:cs="Arial" w:eastAsia="Arial" w:hAnsi="Arial"/>
                <w:color w:val="1E293B"/>
                <w:sz w:val="19"/>
                <w:szCs w:val="19"/>
              </w:rPr>
              <w:t xml:space="preserve">First-round interviews typically within 3–4 weeks of application.</w:t>
            </w:r>
          </w:p>
          <w:p>
            <w:pPr>
              <w:pStyle w:val="ListParagraph"/>
              <w:numPr>
                <w:ilvl w:val="0"/>
                <w:numId w:val="2"/>
              </w:numPr>
              <w:spacing w:before="30" w:after="30"/>
            </w:pPr>
            <w:r>
              <w:rPr>
                <w:rFonts w:ascii="Arial" w:cs="Arial" w:eastAsia="Arial" w:hAnsi="Arial"/>
                <w:color w:val="1E293B"/>
                <w:sz w:val="19"/>
                <w:szCs w:val="19"/>
              </w:rPr>
              <w:t xml:space="preserve">Technical tests common at VP level — expect Python coding (statistical testing), a case study (validate a described model), and a regulatory knowledge check (SS1/23/SR 11-7 basics).</w:t>
            </w:r>
          </w:p>
          <w:p>
            <w:pPr>
              <w:pStyle w:val="ListParagraph"/>
              <w:numPr>
                <w:ilvl w:val="0"/>
                <w:numId w:val="2"/>
              </w:numPr>
              <w:spacing w:before="30" w:after="30"/>
            </w:pPr>
            <w:r>
              <w:rPr>
                <w:rFonts w:ascii="Arial" w:cs="Arial" w:eastAsia="Arial" w:hAnsi="Arial"/>
                <w:color w:val="1E293B"/>
                <w:sz w:val="19"/>
                <w:szCs w:val="19"/>
              </w:rPr>
              <w:t xml:space="preserve">Use the interview answer framework from the previous document.</w:t>
            </w:r>
          </w:p>
          <w:p>
            <w:pPr>
              <w:pStyle w:val="ListParagraph"/>
              <w:numPr>
                <w:ilvl w:val="0"/>
                <w:numId w:val="2"/>
              </w:numPr>
              <w:spacing w:before="30" w:after="30"/>
            </w:pPr>
            <w:r>
              <w:rPr>
                <w:rFonts w:ascii="Arial" w:cs="Arial" w:eastAsia="Arial" w:hAnsi="Arial"/>
                <w:color w:val="1E293B"/>
                <w:sz w:val="19"/>
                <w:szCs w:val="19"/>
              </w:rPr>
              <w:t xml:space="preserve">TARGET: Offer in hand by August 2026.</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Weekly Time Budget</w:t>
      </w:r>
    </w:p>
    <w:p>
      <w:pPr>
        <w:spacing w:before="60" w:after="60"/>
      </w:pPr>
      <w:r>
        <w:rPr>
          <w:rFonts w:ascii="Arial" w:cs="Arial" w:eastAsia="Arial" w:hAnsi="Arial"/>
          <w:sz w:val="21"/>
          <w:szCs w:val="21"/>
        </w:rPr>
        <w:t xml:space="preserve">The plan assumes 10–12 hours per week available across all three tracks. Here is how that breaks down by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Phase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A: DeFi</w:t>
            </w:r>
          </w:p>
        </w:tc>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B: Research</w:t>
            </w:r>
          </w:p>
        </w:tc>
        <w:tc>
          <w:tcPr>
            <w:tcW w:type="dxa" w:w="18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Track C: MRM Bridge</w:t>
            </w:r>
          </w:p>
        </w:tc>
        <w:tc>
          <w:tcPr>
            <w:tcW w:type="dxa" w:w="216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Total / Focus</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bCs/>
                <w:i w:val="false"/>
                <w:iCs w:val="false"/>
                <w:color w:val="1E293B"/>
                <w:sz w:val="20"/>
                <w:szCs w:val="20"/>
              </w:rPr>
              <w:t xml:space="preserve">Months 1–2</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3 hrs/wk</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5 hrs/wk</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3 hrs/wk</w:t>
            </w:r>
          </w:p>
        </w:tc>
        <w:tc>
          <w:tcPr>
            <w:tcW w:type="dxa" w:w="21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11 hrs/wk
All three active. DeFi + MRM artefacts most urgent.</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bCs/>
                <w:i w:val="false"/>
                <w:iCs w:val="false"/>
                <w:color w:val="1E293B"/>
                <w:sz w:val="20"/>
                <w:szCs w:val="20"/>
              </w:rPr>
              <w:t xml:space="preserve">Month 3</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2 hrs/wk
(winding down)</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6 hrs/wk</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4 hrs/wk
(Artefact 5)</w:t>
            </w:r>
          </w:p>
        </w:tc>
        <w:tc>
          <w:tcPr>
            <w:tcW w:type="dxa" w:w="21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12 hrs/wk
Heaviest month. All 5 artefacts completed here.</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bCs/>
                <w:i w:val="false"/>
                <w:iCs w:val="false"/>
                <w:color w:val="1E293B"/>
                <w:sz w:val="20"/>
                <w:szCs w:val="20"/>
              </w:rPr>
              <w:t xml:space="preserve">Months 4–5</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999999"/>
                <w:sz w:val="20"/>
                <w:szCs w:val="20"/>
              </w:rPr>
              <w:t xml:space="preserve">0
(complete)</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6 hrs/wk</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5 hrs/wk
(applications)</w:t>
            </w:r>
          </w:p>
        </w:tc>
        <w:tc>
          <w:tcPr>
            <w:tcW w:type="dxa" w:w="21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11 hrs/wk
DeFi hours shift to domain study. Applications begin.</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bCs/>
                <w:i w:val="false"/>
                <w:iCs w:val="false"/>
                <w:color w:val="1E293B"/>
                <w:sz w:val="20"/>
                <w:szCs w:val="20"/>
              </w:rPr>
              <w:t xml:space="preserve">Month 6</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999999"/>
                <w:sz w:val="20"/>
                <w:szCs w:val="20"/>
              </w:rPr>
              <w:t xml:space="preserve">0</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3 hrs/wk
(final submission)</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center"/>
            </w:pPr>
            <w:r>
              <w:rPr>
                <w:rFonts w:ascii="Arial" w:cs="Arial" w:eastAsia="Arial" w:hAnsi="Arial"/>
                <w:b w:val="false"/>
                <w:bCs w:val="false"/>
                <w:i w:val="false"/>
                <w:iCs w:val="false"/>
                <w:color w:val="1E293B"/>
                <w:sz w:val="20"/>
                <w:szCs w:val="20"/>
              </w:rPr>
              <w:t xml:space="preserve">8 hrs/wk
(interviews)</w:t>
            </w:r>
          </w:p>
        </w:tc>
        <w:tc>
          <w:tcPr>
            <w:tcW w:type="dxa" w:w="21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11 hrs/wk
Focus shifts entirely to interviews.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The Dual-Purpose Principle — How to Avoid Wasted Work</w:t>
      </w:r>
    </w:p>
    <w:p>
      <w:pPr>
        <w:spacing w:before="60" w:after="60"/>
      </w:pPr>
      <w:r>
        <w:rPr>
          <w:rFonts w:ascii="Arial" w:cs="Arial" w:eastAsia="Arial" w:hAnsi="Arial"/>
          <w:sz w:val="21"/>
          <w:szCs w:val="21"/>
        </w:rPr>
        <w:t xml:space="preserve">Every significant piece of work in the next 6 months should produce two outputs: its own deliverable AND an MRM portfolio artefact. Here is the explicit mapping: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Work Done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Its Own Output</w:t>
            </w:r>
          </w:p>
        </w:tc>
        <w:tc>
          <w:tcPr>
            <w:tcW w:type="dxa" w:w="336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MRM Portfolio Artefact It Also Produces</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DeFi: Impermanent Loss discovery</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DeFi project deliverable (Week 2 milestone)</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Mock Validation Summary in SS1/23 format (Artefact 2) — same findings, different format</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DeFi: VaR/ES formula recovery</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Campaign 1 extension / DeFi project report</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VaR backtesting engine with Basel traffic light (Artefact 3) — direct application to real data</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Academic research: OOT validation of ML model</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Results chapter of dissertation/paper</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PSI monitoring framework with revalidation thresholds (Artefact 4) — same methodology</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Academic research: SHAP explainability analysis</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Explainability section of paper</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ML model validation report section — maps directly to SS1/23 P1.3 complexity assessment</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Independent validation of GitHub model</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MRM bridge work only</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Artefact 5 — the independence demonstration that HypatiaX cannot provide</w:t>
            </w:r>
          </w:p>
        </w:tc>
      </w:tr>
      <w:tr>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E293B"/>
                <w:sz w:val="19"/>
                <w:szCs w:val="19"/>
              </w:rPr>
              <w:t xml:space="preserve">JMLR paper (HypatiaX)</w:t>
            </w:r>
          </w:p>
        </w:tc>
        <w:tc>
          <w:tcPr>
            <w:tcW w:type="dxa" w:w="300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iCs/>
                <w:color w:val="444444"/>
                <w:sz w:val="19"/>
                <w:szCs w:val="19"/>
              </w:rPr>
              <w:t xml:space="preserve">Academic publication</w:t>
            </w:r>
          </w:p>
        </w:tc>
        <w:tc>
          <w:tcPr>
            <w:tcW w:type="dxa" w:w="3360"/>
            <w:tcBorders>
              <w:top w:val="single" w:color="CBD5E1" w:sz="1"/>
              <w:left w:val="single" w:color="CBD5E1" w:sz="1"/>
              <w:bottom w:val="single" w:color="CBD5E1" w:sz="1"/>
              <w:right w:val="single" w:color="CBD5E1" w:sz="1"/>
            </w:tcBorders>
            <w:tcMar>
              <w:top w:type="dxa" w:w="90"/>
              <w:left w:type="dxa" w:w="130"/>
              <w:bottom w:type="dxa" w:w="90"/>
              <w:right w:type="dxa" w:w="130"/>
            </w:tcMar>
          </w:tcPr>
          <w:p>
            <w:pPr>
              <w:jc w:val="left"/>
            </w:pPr>
            <w:r>
              <w:rPr>
                <w:rFonts w:ascii="Arial" w:cs="Arial" w:eastAsia="Arial" w:hAnsi="Arial"/>
                <w:b w:val="false"/>
                <w:bCs w:val="false"/>
                <w:i w:val="false"/>
                <w:iCs w:val="false"/>
                <w:color w:val="166534"/>
                <w:sz w:val="19"/>
                <w:szCs w:val="19"/>
              </w:rPr>
              <w:t xml:space="preserve">Conceptual Soundness Assessment rewrite (Artefact 1) — same content, regulatory format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What To Do This Week (Week 1, February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Three Actions — In This Order</w:t>
            </w:r>
          </w:p>
          <w:p>
            <w:pPr>
              <w:spacing w:before="60"/>
            </w:pPr>
            <w:r>
              <w:rPr>
                <w:rFonts w:ascii="Arial" w:cs="Arial" w:eastAsia="Arial" w:hAnsi="Arial"/>
                <w:color w:val="1E293B"/>
                <w:sz w:val="20"/>
                <w:szCs w:val="20"/>
              </w:rPr>
              <w:t xml:space="preserve">1. LOCK THE RESEARCH TOPIC TODAY. Before doing anything else in the academic track, decide between ML validation in credit risk vs. extrapolation risk in stress testing. This decision shapes everything. Email your supervisor today with a one-paragraph proposal.
2. READ SS1/23 THIS WEEK. Download it from the Bank of England website (free). Read it in one sitting — it is 40 pages. As you read, write one sentence next to each Principle mapping it to something you did in HypatiaX. This annotation becomes Artefact 1.
3. CONTINUE THE DEFI ROADMAP AS PLANNED. Week 1 of the roadmap is Aave/Compound governance research. Do it exactly as planned — but add one task: for every risk formula you encounter, note which of the 8 MRM model domains it belongs to. You are building domain pattern recognition from day one.</w:t>
            </w:r>
          </w:p>
        </w:tc>
      </w:tr>
    </w:tbl>
    <w:p>
      <w:pPr>
        <w:spacing w:before="60" w:after="60"/>
      </w:pPr>
      <w:r>
        <w:t xml:space="preserve"/>
      </w:r>
    </w:p>
    <w:p>
      <w:pPr>
        <w:spacing w:before="60" w:after="60"/>
      </w:pPr>
      <w:r>
        <w:rPr>
          <w:rFonts w:ascii="Arial" w:cs="Arial" w:eastAsia="Arial" w:hAnsi="Arial"/>
          <w:i/>
          <w:iCs/>
          <w:color w:val="444444"/>
          <w:sz w:val="21"/>
          <w:szCs w:val="21"/>
        </w:rPr>
        <w:t xml:space="preserve">The next document you produce after reading SS1/23 should be the 1-page Conceptual Soundness Assessment (Artefact 1). Not a study plan. Not notes. An actual output in validation report format. The discipline of producing outputs — not accumulating knowledge — is what makes 6 months sufficient.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2026-02-22T12:20:36.482Z</dcterms:created>
  <dcterms:modified xsi:type="dcterms:W3CDTF">2026-02-22T12:20:36.483Z</dcterms:modified>
</cp:coreProperties>
</file>

<file path=docProps/custom.xml><?xml version="1.0" encoding="utf-8"?>
<Properties xmlns="http://schemas.openxmlformats.org/officeDocument/2006/custom-properties" xmlns:vt="http://schemas.openxmlformats.org/officeDocument/2006/docPropsVTypes"/>
</file>