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3864"/>
          <w:sz w:val="48"/>
          <w:szCs w:val="48"/>
        </w:rPr>
        <w:t xml:space="preserve">CONCEPTUAL SOUNDNESS ASSESSMENT</w:t>
      </w:r>
    </w:p>
    <w:p>
      <w:pPr>
        <w:spacing w:before="0" w:after="30"/>
      </w:pPr>
      <w:r>
        <w:rPr>
          <w:rFonts w:ascii="Arial" w:cs="Arial" w:eastAsia="Arial" w:hAnsi="Arial"/>
          <w:color w:val="444444"/>
          <w:sz w:val="22"/>
          <w:szCs w:val="22"/>
        </w:rPr>
        <w:t xml:space="preserve">Model Under Review: HypatiaX — Hybrid Symbolic Regression &amp; LLM Discovery System</w:t>
      </w:r>
    </w:p>
    <w:p>
      <w:pPr>
        <w:spacing w:before="0" w:after="200"/>
      </w:pPr>
      <w:r>
        <w:rPr>
          <w:rFonts w:ascii="Arial" w:cs="Arial" w:eastAsia="Arial" w:hAnsi="Arial"/>
          <w:i/>
          <w:iCs/>
          <w:color w:val="888888"/>
          <w:sz w:val="19"/>
          <w:szCs w:val="19"/>
        </w:rPr>
        <w:t xml:space="preserve">Prepared under PRA SS1/23 Principle 4 &amp; SR 11-7 (Element 1: Evaluation of Conceptual Soundness)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Model Name</w:t>
            </w:r>
          </w:p>
          <w:p>
            <w:r>
              <w:rPr>
                <w:rFonts w:ascii="Arial" w:cs="Arial" w:eastAsia="Arial" w:hAnsi="Arial"/>
                <w:sz w:val="20"/>
                <w:szCs w:val="20"/>
              </w:rPr>
              <w:t xml:space="preserve">HypatiaX v40</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Validator</w:t>
            </w:r>
          </w:p>
          <w:p>
            <w:r>
              <w:rPr>
                <w:rFonts w:ascii="Arial" w:cs="Arial" w:eastAsia="Arial" w:hAnsi="Arial"/>
                <w:sz w:val="20"/>
                <w:szCs w:val="20"/>
              </w:rPr>
              <w:t xml:space="preserve">Ruperto P. Bonet Chaple</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Date</w:t>
            </w:r>
          </w:p>
          <w:p>
            <w:r>
              <w:rPr>
                <w:rFonts w:ascii="Arial" w:cs="Arial" w:eastAsia="Arial" w:hAnsi="Arial"/>
                <w:sz w:val="20"/>
                <w:szCs w:val="20"/>
              </w:rPr>
              <w:t xml:space="preserve">February 2026</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Version Reviewed</w:t>
            </w:r>
          </w:p>
          <w:p>
            <w:r>
              <w:rPr>
                <w:rFonts w:ascii="Arial" w:cs="Arial" w:eastAsia="Arial" w:hAnsi="Arial"/>
                <w:sz w:val="20"/>
                <w:szCs w:val="20"/>
              </w:rPr>
              <w:t xml:space="preserve">v40 (JMLR submission)</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1. Model Purpose and Intended Use</w:t>
      </w:r>
    </w:p>
    <w:p>
      <w:pPr>
        <w:spacing w:before="60" w:after="60"/>
      </w:pPr>
      <w:r>
        <w:rPr>
          <w:rFonts w:ascii="Arial" w:cs="Arial" w:eastAsia="Arial" w:hAnsi="Arial"/>
          <w:sz w:val="21"/>
          <w:szCs w:val="21"/>
        </w:rPr>
        <w:t xml:space="preserve">HypatiaX is a hybrid analytical expression discovery system designed to recover closed-form mathematical relationships from observed data. It combines evolutionary symbolic regression (PySR) with optional large language model (LLM) guided initialisation and a four-stage cascaded validation framework.</w:t>
      </w:r>
    </w:p>
    <w:p>
      <w:pPr>
        <w:spacing w:before="60" w:after="60"/>
      </w:pPr>
      <w:r>
        <w:t xml:space="preserve"/>
      </w:r>
    </w:p>
    <w:p>
      <w:pPr>
        <w:spacing w:before="60" w:after="60"/>
      </w:pPr>
      <w:r>
        <w:rPr>
          <w:rFonts w:ascii="Arial" w:cs="Arial" w:eastAsia="Arial" w:hAnsi="Arial"/>
          <w:sz w:val="21"/>
          <w:szCs w:val="21"/>
        </w:rPr>
        <w:t xml:space="preserve">Intended use case: discovery of interpretable, extrapolation-reliable analytical expressions in scientific and financial domains, including physics, chemistry, biology, and decentralised finance (DeFi). The model's outputs — closed-form symbolic expressions — are intended to inform quantitative modelling decisions where extrapolation beyond the observed data range is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SS1/23 Reference</w:t>
            </w:r>
          </w:p>
          <w:p>
            <w:pPr>
              <w:spacing w:before="60"/>
            </w:pPr>
            <w:r>
              <w:rPr>
                <w:rFonts w:ascii="Arial" w:cs="Arial" w:eastAsia="Arial" w:hAnsi="Arial"/>
                <w:color w:val="1E293B"/>
                <w:sz w:val="20"/>
                <w:szCs w:val="20"/>
              </w:rPr>
              <w:t xml:space="preserve">Principle 1.1 defines a model as 'a quantitative method that applies statistical, economic, financial, or mathematical theories, techniques, and assumptions to process input data into output.' HypatiaX satisfies this definition. Its outputs (symbolic expressions) are used as inputs to downstream quantitative decision-making.</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2. Theoretical Basis — Is the Approach Conceptually Sound?</w:t>
      </w:r>
    </w:p>
    <w:p>
      <w:pPr>
        <w:spacing w:before="200" w:after="80"/>
      </w:pPr>
      <w:r>
        <w:rPr>
          <w:rFonts w:ascii="Arial" w:cs="Arial" w:eastAsia="Arial" w:hAnsi="Arial"/>
          <w:b/>
          <w:bCs/>
          <w:color w:val="2E6DA4"/>
          <w:sz w:val="23"/>
          <w:szCs w:val="23"/>
        </w:rPr>
        <w:t xml:space="preserve">2.1 Core Methodology: Evolutionary Symbolic Regression</w:t>
      </w:r>
    </w:p>
    <w:p>
      <w:pPr>
        <w:spacing w:before="60" w:after="60"/>
      </w:pPr>
      <w:r>
        <w:rPr>
          <w:rFonts w:ascii="Arial" w:cs="Arial" w:eastAsia="Arial" w:hAnsi="Arial"/>
          <w:sz w:val="21"/>
          <w:szCs w:val="21"/>
        </w:rPr>
        <w:t xml:space="preserve">HypatiaX uses PySR as its symbolic discovery engine. PySR performs multi-objective evolutionary search over a predefined operator set O = {+, −, ×, ÷, exp, log, sin, cos, xⁿ, √x}, optimising a Pareto frontier of accuracy vs. expression complexity. This approach is grounded in established genetic programming literature (Koza 1992; Cranmer 2023) and has been validated on the Feynman Symbolic Regression Benchmark.</w:t>
      </w:r>
    </w:p>
    <w:p>
      <w:pPr>
        <w:spacing w:before="60" w:after="60"/>
      </w:pPr>
      <w:r>
        <w:t xml:space="preserve"/>
      </w:r>
    </w:p>
    <w:p>
      <w:pPr>
        <w:spacing w:before="60" w:after="60"/>
      </w:pPr>
      <w:r>
        <w:rPr>
          <w:rFonts w:ascii="Arial" w:cs="Arial" w:eastAsia="Arial" w:hAnsi="Arial"/>
          <w:sz w:val="21"/>
          <w:szCs w:val="21"/>
        </w:rPr>
        <w:t xml:space="preserve">Assessment: The theoretical basis is sound. Evolutionary symbolic regression is a well-established methodology with peer-reviewed foundations. The Pareto optimisation framework directly addresses the bias-variance trade-off in expression complexity, consistent with parsimony principles in model selection. The use of a finite operator set introduces a known limitation (see Section 4) but is a principled design choice, not a theoretical deficiency.</w:t>
      </w:r>
    </w:p>
    <w:p>
      <w:pPr>
        <w:spacing w:before="60" w:after="60"/>
      </w:pPr>
      <w:r>
        <w:t xml:space="preserve"/>
      </w:r>
    </w:p>
    <w:p>
      <w:pPr>
        <w:spacing w:before="200" w:after="80"/>
      </w:pPr>
      <w:r>
        <w:rPr>
          <w:rFonts w:ascii="Arial" w:cs="Arial" w:eastAsia="Arial" w:hAnsi="Arial"/>
          <w:b/>
          <w:bCs/>
          <w:color w:val="2E6DA4"/>
          <w:sz w:val="23"/>
          <w:szCs w:val="23"/>
        </w:rPr>
        <w:t xml:space="preserve">2.2 LLM-Guided Initialisation</w:t>
      </w:r>
    </w:p>
    <w:p>
      <w:pPr>
        <w:spacing w:before="60" w:after="60"/>
      </w:pPr>
      <w:r>
        <w:rPr>
          <w:rFonts w:ascii="Arial" w:cs="Arial" w:eastAsia="Arial" w:hAnsi="Arial"/>
          <w:sz w:val="21"/>
          <w:szCs w:val="21"/>
        </w:rPr>
        <w:t xml:space="preserve">The optional LLM layer (Layer 3) proposes candidate expressions to reduce symbolic search time by approximately 73% on the evaluated benchmark. LLMs act as hypothesis generators, not primary discovery engines. All LLM-generated candidates are subject to the full four-stage validation cascade before acceptance.</w:t>
      </w:r>
    </w:p>
    <w:p>
      <w:pPr>
        <w:spacing w:before="60" w:after="60"/>
      </w:pPr>
      <w:r>
        <w:t xml:space="preserve"/>
      </w:r>
    </w:p>
    <w:p>
      <w:pPr>
        <w:spacing w:before="60" w:after="60"/>
      </w:pPr>
      <w:r>
        <w:rPr>
          <w:rFonts w:ascii="Arial" w:cs="Arial" w:eastAsia="Arial" w:hAnsi="Arial"/>
          <w:sz w:val="21"/>
          <w:szCs w:val="21"/>
        </w:rPr>
        <w:t xml:space="preserve">Assessment: The design correctly separates pattern recognition (LLM) from structural validation (symbolic). This is conceptually sound. The LLM is used as an initialisation prior, not as an oracle — analogous to expert elicitation in operational risk modelling, where expert input is validated against data rather than accepted at face value.</w:t>
      </w:r>
    </w:p>
    <w:p>
      <w:pPr>
        <w:spacing w:before="60" w:after="60"/>
      </w:pPr>
      <w:r>
        <w:t xml:space="preserve"/>
      </w:r>
    </w:p>
    <w:p>
      <w:pPr>
        <w:spacing w:before="200" w:after="80"/>
      </w:pPr>
      <w:r>
        <w:rPr>
          <w:rFonts w:ascii="Arial" w:cs="Arial" w:eastAsia="Arial" w:hAnsi="Arial"/>
          <w:b/>
          <w:bCs/>
          <w:color w:val="2E6DA4"/>
          <w:sz w:val="23"/>
          <w:szCs w:val="23"/>
        </w:rPr>
        <w:t xml:space="preserve">2.3 The Central Theoretical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Core Claim Under Assessment</w:t>
            </w:r>
          </w:p>
          <w:p>
            <w:pPr>
              <w:spacing w:before="60"/>
            </w:pPr>
            <w:r>
              <w:rPr>
                <w:rFonts w:ascii="Arial" w:cs="Arial" w:eastAsia="Arial" w:hAnsi="Arial"/>
                <w:color w:val="1E293B"/>
                <w:sz w:val="20"/>
                <w:szCs w:val="20"/>
              </w:rPr>
              <w:t xml:space="preserve">HypatiaX asserts, and empirically demonstrates, that high in-distribution accuracy (R² ≈ 1.0) does not imply extrapolation reliability. This interpolation-extrapolation decoupling is the model's primary theoretical contribution and the basis for its design choices.</w:t>
            </w:r>
          </w:p>
        </w:tc>
      </w:tr>
    </w:tbl>
    <w:p>
      <w:pPr>
        <w:spacing w:before="60" w:after="60"/>
      </w:pPr>
      <w:r>
        <w:t xml:space="preserve"/>
      </w:r>
    </w:p>
    <w:p>
      <w:pPr>
        <w:spacing w:before="60" w:after="60"/>
      </w:pPr>
      <w:r>
        <w:rPr>
          <w:rFonts w:ascii="Arial" w:cs="Arial" w:eastAsia="Arial" w:hAnsi="Arial"/>
          <w:sz w:val="21"/>
          <w:szCs w:val="21"/>
        </w:rPr>
        <w:t xml:space="preserve">Assessment: This claim is theoretically grounded. Neural networks minimise empirical risk without structural constraints, producing local approximations that are not bound to the true functional form outside the training domain. Symbolic methods, when they successfully recover the true form, are bounded by numerical precision alone for all inputs. The claim is correctly qualified as empirical and benchmark-specific, not a universal guarantee. This epistemic honesty strengthens rather than weakens the conceptual soundness assessment.</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3. Challenger Model Comparison</w:t>
      </w:r>
    </w:p>
    <w:p>
      <w:pPr>
        <w:spacing w:before="60" w:after="60"/>
      </w:pPr>
      <w:r>
        <w:rPr>
          <w:rFonts w:ascii="Arial" w:cs="Arial" w:eastAsia="Arial" w:hAnsi="Arial"/>
          <w:sz w:val="21"/>
          <w:szCs w:val="21"/>
        </w:rPr>
        <w:t xml:space="preserve">SS1/23 Principle 3 and SR 11-7 both require that the chosen methodology be assessed against reasonable alternatives. The following table compares HypatiaX against three challenger approaches for the same use case (closed-form expression discovery with extrapolation reliability).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In-Dist R²</w:t>
            </w:r>
          </w:p>
        </w:tc>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Extrapolation Error</w:t>
            </w:r>
          </w:p>
        </w:tc>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Interpretability</w:t>
            </w:r>
          </w:p>
        </w:tc>
        <w:tc>
          <w:tcPr>
            <w:tcW w:type="dxa" w:w="2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Assessment vs. HypatiaX</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HypatiaX v40 (subject model)</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0.931 (mean)</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i w:val="false"/>
                <w:iCs w:val="false"/>
                <w:color w:val="166534"/>
                <w:sz w:val="20"/>
                <w:szCs w:val="20"/>
              </w:rPr>
              <w:t xml:space="preserve">~0% (near-zero)</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High — closed-form symbolic output</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20"/>
                <w:szCs w:val="20"/>
              </w:rPr>
              <w:t xml:space="preserve">Baseline. Best extrapolation performance at acceptable in-distribution accuracy.</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Pure LLM (GPT-4)</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0.89</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991B1B"/>
                <w:sz w:val="20"/>
                <w:szCs w:val="20"/>
              </w:rPr>
              <w:t xml:space="preserve">847%</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Medium — natural language output</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91B1B"/>
                <w:sz w:val="20"/>
                <w:szCs w:val="20"/>
              </w:rPr>
              <w:t xml:space="preserve">Inferior on extrapolation. Silent semantic errors documented. Not suitable for extrapolation-critical use cases.</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Neural Network (MLP)</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0.940</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991B1B"/>
                <w:sz w:val="20"/>
                <w:szCs w:val="20"/>
              </w:rPr>
              <w:t xml:space="preserve">1,231%</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Low — black-box</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91B1B"/>
                <w:sz w:val="20"/>
                <w:szCs w:val="20"/>
              </w:rPr>
              <w:t xml:space="preserve">Best interpolation but worst extrapolation. Fails precisely where HypatiaX is designed to succeed.</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Pure Symbolic (PySR, no LLM)</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0.94</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92400E"/>
                <w:sz w:val="20"/>
                <w:szCs w:val="20"/>
              </w:rPr>
              <w:t xml:space="preserve">23%</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High — symbolic output</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2400E"/>
                <w:sz w:val="20"/>
                <w:szCs w:val="20"/>
              </w:rPr>
              <w:t xml:space="preserve">Valid challenger. Similar extrapolation quality but 73% slower discovery. HypatiaX adds speed without sacrificing reliability.</w:t>
            </w:r>
          </w:p>
        </w:tc>
      </w:tr>
    </w:tbl>
    <w:p>
      <w:pPr>
        <w:spacing w:before="60" w:after="60"/>
      </w:pPr>
      <w:r>
        <w:t xml:space="preserve"/>
      </w:r>
    </w:p>
    <w:p>
      <w:pPr>
        <w:spacing w:before="60" w:after="60"/>
      </w:pPr>
      <w:r>
        <w:rPr>
          <w:rFonts w:ascii="Arial" w:cs="Arial" w:eastAsia="Arial" w:hAnsi="Arial"/>
          <w:sz w:val="21"/>
          <w:szCs w:val="21"/>
        </w:rPr>
        <w:t xml:space="preserve">Challenger conclusion: HypatiaX demonstrates superior extrapolation performance relative to neural and LLM-only approaches. The Pure Symbolic challenger (PySR) is the strongest competitor and achieves similar extrapolation quality. HypatiaX's advantage over this challenger is computational efficiency (73% search time reduction via LLM initialisation) with no material loss in validation integrity, since all candidates pass the same four-stage validation cascade.</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4. Validation Framework — The Four-Stage Cascade</w:t>
      </w:r>
    </w:p>
    <w:p>
      <w:pPr>
        <w:spacing w:before="60" w:after="60"/>
      </w:pPr>
      <w:r>
        <w:rPr>
          <w:rFonts w:ascii="Arial" w:cs="Arial" w:eastAsia="Arial" w:hAnsi="Arial"/>
          <w:sz w:val="21"/>
          <w:szCs w:val="21"/>
        </w:rPr>
        <w:t xml:space="preserve">HypatiaX incorporates an internal validation cascade applied to all candidate expressions. This section assesses whether the cascade satisfies SS1/23 Principle 4 sub-requirements for model performance monitoring.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Tests</w:t>
            </w:r>
          </w:p>
        </w:tc>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Rejection Rate (empirical)</w:t>
            </w:r>
          </w:p>
        </w:tc>
        <w:tc>
          <w:tcPr>
            <w:tcW w:type="dxa" w:w="33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SS1/23 / SR 11-7 Mapping</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Layer 1</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Dimensional analysis — checks that all terms combined by + or − share identical physical dimensions. Enforces dimensional homogeneity.</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20"/>
                <w:szCs w:val="20"/>
              </w:rPr>
              <w:t xml:space="preserve">~30% of candidates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8"/>
                <w:szCs w:val="18"/>
              </w:rPr>
              <w:t xml:space="preserve">SS1/23 P3: 'testing of model construct and assumptions.' SR 11-7: conceptual soundness — the model must be physically self-consistent.</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Layer 2</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Domain constraint checking — verifies that outputs remain within physically valid ranges (e.g., probabilities in [0,1], non-negative quantities, no division by zero in domain).</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20"/>
                <w:szCs w:val="20"/>
              </w:rPr>
              <w:t xml:space="preserve">~25% of surviving candidates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8"/>
                <w:szCs w:val="18"/>
              </w:rPr>
              <w:t xml:space="preserve">SS1/23 P3: 'model operating boundaries.' SR 11-7: assessment of model assumptions and their validity in the use context.</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Layer 3</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Numerical stability — checks for singularities, overflow, and instability across the input domain.</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20"/>
                <w:szCs w:val="20"/>
              </w:rPr>
              <w:t xml:space="preserve">~15% of surviving candidates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8"/>
                <w:szCs w:val="18"/>
              </w:rPr>
              <w:t xml:space="preserve">SS1/23 P3: 'implementation integrity.' Ensures model produces stable, reproducible outputs.</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Layer 4</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Extrapolation testing — evaluates model performance at 2× the training data range. Accepts only if extrapolation error remains bounded.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20"/>
                <w:szCs w:val="20"/>
              </w:rPr>
              <w:t xml:space="preserve">47% of incorrect expressions surviving Layers 1–3 caught here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8"/>
                <w:szCs w:val="18"/>
              </w:rPr>
              <w:t xml:space="preserve">SR 11-7: Outcomes Analysis. SS1/23 P1.2: 'operating boundaries — extrapolating beyond these should be assumed to involve increased model risk.'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40"/>
              <w:left w:type="dxa" w:w="200"/>
              <w:bottom w:type="dxa" w:w="140"/>
              <w:right w:type="dxa" w:w="200"/>
            </w:tcMar>
          </w:tcPr>
          <w:p>
            <w:r>
              <w:rPr>
                <w:rFonts w:ascii="Arial" w:cs="Arial" w:eastAsia="Arial" w:hAnsi="Arial"/>
                <w:b/>
                <w:bCs/>
                <w:color w:val="92400E"/>
                <w:sz w:val="21"/>
                <w:szCs w:val="21"/>
              </w:rPr>
              <w:t xml:space="preserve">Key Empirical Finding on Cascade Design</w:t>
            </w:r>
          </w:p>
          <w:p>
            <w:pPr>
              <w:spacing w:before="60"/>
            </w:pPr>
            <w:r>
              <w:rPr>
                <w:rFonts w:ascii="Arial" w:cs="Arial" w:eastAsia="Arial" w:hAnsi="Arial"/>
                <w:color w:val="1E293B"/>
                <w:sz w:val="20"/>
                <w:szCs w:val="20"/>
              </w:rPr>
              <w:t xml:space="preserve">47% of incorrect expressions passed Layers 1–3 and were only caught by Layer 4 (extrapolation testing). This demonstrates that structural validation alone — dimensional consistency and domain constraints — is insufficient. Out-of-distribution testing is not optional; it is the final and most discriminating gate. This finding directly supports the SS1/23 requirement to assess model behaviour outside operating boundaries.</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5. Model Limitations and Operating Boundaries</w:t>
      </w:r>
    </w:p>
    <w:p>
      <w:pPr>
        <w:spacing w:before="60" w:after="60"/>
      </w:pPr>
      <w:r>
        <w:rPr>
          <w:rFonts w:ascii="Arial" w:cs="Arial" w:eastAsia="Arial" w:hAnsi="Arial"/>
          <w:sz w:val="21"/>
          <w:szCs w:val="21"/>
        </w:rPr>
        <w:t xml:space="preserve">The following limitations are formally identified and must be considered when determining the scope of acceptable use. These limitations do not disqualify the model; they define the conditions under which its outputs should be trusted.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92400E"/>
                <w:sz w:val="22"/>
                <w:szCs w:val="22"/>
              </w:rPr>
              <w:t xml:space="preserve">F-01</w:t>
            </w:r>
          </w:p>
          <w:p>
            <w:pPr>
              <w:jc w:val="center"/>
            </w:pPr>
            <w:r>
              <w:rPr>
                <w:rFonts w:ascii="Arial" w:cs="Arial" w:eastAsia="Arial" w:hAnsi="Arial"/>
                <w:b/>
                <w:bCs/>
                <w:color w:val="92400E"/>
                <w:sz w:val="18"/>
                <w:szCs w:val="18"/>
              </w:rPr>
              <w:t xml:space="preserve">MINOR</w:t>
            </w:r>
          </w:p>
        </w:tc>
        <w:tc>
          <w:tcPr>
            <w:tcW w:type="dxa" w:w="81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Finite operator set assumption: HypatiaX can only recover expressions representable using O = {+, −, ×, ÷, exp, log, sin, cos, xⁿ, √x}. Equations requiring operators outside this set are not reliably recoverable. Mitigation: operator set is user-configurable and can be extended for specific use cases.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92400E"/>
                <w:sz w:val="22"/>
                <w:szCs w:val="22"/>
              </w:rPr>
              <w:t xml:space="preserve">F-02</w:t>
            </w:r>
          </w:p>
          <w:p>
            <w:pPr>
              <w:jc w:val="center"/>
            </w:pPr>
            <w:r>
              <w:rPr>
                <w:rFonts w:ascii="Arial" w:cs="Arial" w:eastAsia="Arial" w:hAnsi="Arial"/>
                <w:b/>
                <w:bCs/>
                <w:color w:val="92400E"/>
                <w:sz w:val="18"/>
                <w:szCs w:val="18"/>
              </w:rPr>
              <w:t xml:space="preserve">MINOR</w:t>
            </w:r>
          </w:p>
        </w:tc>
        <w:tc>
          <w:tcPr>
            <w:tcW w:type="dxa" w:w="81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Scale boundedness: Expressions involving characteristic scales spanning more than approximately six orders of magnitude present numerical challenges. Affected expressions may fail Layer 3 (numerical stability) even when conceptually correct. Mitigation: data normalisation pre-processing reduces but does not eliminate this constraint.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92400E"/>
                <w:sz w:val="22"/>
                <w:szCs w:val="22"/>
              </w:rPr>
              <w:t xml:space="preserve">F-03</w:t>
            </w:r>
          </w:p>
          <w:p>
            <w:pPr>
              <w:jc w:val="center"/>
            </w:pPr>
            <w:r>
              <w:rPr>
                <w:rFonts w:ascii="Arial" w:cs="Arial" w:eastAsia="Arial" w:hAnsi="Arial"/>
                <w:b/>
                <w:bCs/>
                <w:color w:val="92400E"/>
                <w:sz w:val="18"/>
                <w:szCs w:val="18"/>
              </w:rPr>
              <w:t xml:space="preserve">MINOR</w:t>
            </w:r>
          </w:p>
        </w:tc>
        <w:tc>
          <w:tcPr>
            <w:tcW w:type="dxa" w:w="81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No ongoing monitoring framework: The current implementation is a pre-deployment validation system. There is no mechanism for detecting distribution shift in deployed expressions or triggering revalidation when input data characteristics change. Mitigation: recommend implementation of PSI-based monitoring on input variables, with PSI &gt; 0.2 as revalidation trigger (see SS1/23 Principle 4(c)).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center"/>
            </w:pPr>
            <w:r>
              <w:rPr>
                <w:rFonts w:ascii="Arial" w:cs="Arial" w:eastAsia="Arial" w:hAnsi="Arial"/>
                <w:b/>
                <w:bCs/>
                <w:color w:val="1D4ED8"/>
                <w:sz w:val="22"/>
                <w:szCs w:val="22"/>
              </w:rPr>
              <w:t xml:space="preserve">F-04</w:t>
            </w:r>
          </w:p>
          <w:p>
            <w:pPr>
              <w:jc w:val="center"/>
            </w:pPr>
            <w:r>
              <w:rPr>
                <w:rFonts w:ascii="Arial" w:cs="Arial" w:eastAsia="Arial" w:hAnsi="Arial"/>
                <w:b/>
                <w:bCs/>
                <w:color w:val="1D4ED8"/>
                <w:sz w:val="18"/>
                <w:szCs w:val="18"/>
              </w:rPr>
              <w:t xml:space="preserve">INFORMATIONAL</w:t>
            </w:r>
          </w:p>
        </w:tc>
        <w:tc>
          <w:tcPr>
            <w:tcW w:type="dxa" w:w="81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Benchmark specificity: All empirical results are specific to the Core 15 benchmark and the five experimental campaigns (131 tests). Results should not be generalised as universal guarantees. External validation on the full Feynman-SR benchmark is recommended before broader deployment claims.</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6. Conceptual Soundness Disposition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00"/>
              <w:bottom w:type="dxa" w:w="140"/>
              <w:right w:type="dxa" w:w="200"/>
            </w:tcMar>
          </w:tcPr>
          <w:p>
            <w:r>
              <w:rPr>
                <w:rFonts w:ascii="Arial" w:cs="Arial" w:eastAsia="Arial" w:hAnsi="Arial"/>
                <w:b/>
                <w:bCs/>
                <w:color w:val="166534"/>
                <w:sz w:val="21"/>
                <w:szCs w:val="21"/>
              </w:rPr>
              <w:t xml:space="preserve">DISPOSITION: CONCEPTUALLY SOUND FOR INTENDED USE CASE — WITH CONDITIONS</w:t>
            </w:r>
          </w:p>
          <w:p>
            <w:pPr>
              <w:spacing w:before="60"/>
            </w:pPr>
            <w:r>
              <w:rPr>
                <w:rFonts w:ascii="Arial" w:cs="Arial" w:eastAsia="Arial" w:hAnsi="Arial"/>
                <w:color w:val="1E293B"/>
                <w:sz w:val="20"/>
                <w:szCs w:val="20"/>
              </w:rPr>
              <w:t xml:space="preserve">HypatiaX is assessed as conceptually sound for its stated purpose: analytical expression discovery in extrapolation-sensitive scientific and financial domains. The theoretical basis (evolutionary symbolic regression with Pareto optimisation) is well-established and appropriately referenced. The four-stage validation cascade is a methodologically rigorous innovation that addresses a real gap in evaluation practice. The interpolation-extrapolation decoupling finding is correctly framed as empirical and benchmark-specific.
The model is NOT recommended for use cases requiring: (a) expressions involving operators outside the defined set O without configuration update, (b) inputs with scale ranges exceeding ~6 orders of magnitude, or (c) ongoing monitoring of deployed expressions without implementation of the recommended PSI-based monitoring framework.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M</w:t>
            </w:r>
          </w:p>
          <w:p>
            <w:r>
              <w:rPr>
                <w:rFonts w:ascii="Arial" w:cs="Arial" w:eastAsia="Arial" w:hAnsi="Arial"/>
                <w:sz w:val="20"/>
                <w:szCs w:val="20"/>
              </w:rPr>
              <w:t xml:space="preserve">o</w:t>
            </w:r>
          </w:p>
        </w:tc>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L</w:t>
            </w:r>
          </w:p>
          <w:p>
            <w:r>
              <w:rPr>
                <w:rFonts w:ascii="Arial" w:cs="Arial" w:eastAsia="Arial" w:hAnsi="Arial"/>
                <w:sz w:val="20"/>
                <w:szCs w:val="20"/>
              </w:rPr>
              <w:t xml:space="preserve">O</w:t>
            </w:r>
          </w:p>
        </w:tc>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C</w:t>
            </w:r>
          </w:p>
          <w:p>
            <w:r>
              <w:rPr>
                <w:rFonts w:ascii="Arial" w:cs="Arial" w:eastAsia="Arial" w:hAnsi="Arial"/>
                <w:sz w:val="20"/>
                <w:szCs w:val="20"/>
              </w:rPr>
              <w:t xml:space="preserve">o</w:t>
            </w:r>
          </w:p>
        </w:tc>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3</w:t>
            </w:r>
          </w:p>
          <w:p>
            <w:r>
              <w:rPr>
                <w:rFonts w:ascii="Arial" w:cs="Arial" w:eastAsia="Arial" w:hAnsi="Arial"/>
                <w:sz w:val="20"/>
                <w:szCs w:val="20"/>
              </w:rPr>
              <w:t xml:space="preserv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Model Risk Rating</w:t>
            </w:r>
          </w:p>
          <w:p>
            <w:r>
              <w:rPr>
                <w:rFonts w:ascii="Arial" w:cs="Arial" w:eastAsia="Arial" w:hAnsi="Arial"/>
                <w:sz w:val="20"/>
                <w:szCs w:val="20"/>
              </w:rPr>
              <w:t xml:space="preserve">LOW — within operating boundaries</w:t>
            </w:r>
          </w:p>
        </w:tc>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Conditions of Use</w:t>
            </w:r>
          </w:p>
          <w:p>
            <w:r>
              <w:rPr>
                <w:rFonts w:ascii="Arial" w:cs="Arial" w:eastAsia="Arial" w:hAnsi="Arial"/>
                <w:sz w:val="20"/>
                <w:szCs w:val="20"/>
              </w:rPr>
              <w:t xml:space="preserve">3 conditions (F-01, F-02, F-03)</w:t>
            </w:r>
          </w:p>
        </w:tc>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Next Review</w:t>
            </w:r>
          </w:p>
          <w:p>
            <w:r>
              <w:rPr>
                <w:rFonts w:ascii="Arial" w:cs="Arial" w:eastAsia="Arial" w:hAnsi="Arial"/>
                <w:sz w:val="20"/>
                <w:szCs w:val="20"/>
              </w:rPr>
              <w:t xml:space="preserve">12 months or material change</w:t>
            </w:r>
          </w:p>
        </w:tc>
        <w:tc>
          <w:tcPr>
            <w:tcW w:type="dxa" w:w="2340"/>
            <w:tcBorders>
              <w:top w:val="single" w:color="CBD5E1" w:sz="1"/>
              <w:left w:val="single" w:color="CBD5E1" w:sz="1"/>
              <w:bottom w:val="single" w:color="CBD5E1" w:sz="1"/>
              <w:right w:val="single" w:color="CBD5E1" w:sz="1"/>
            </w:tcBorders>
            <w:shd w:fill="DCFCE7" w:val="clear"/>
            <w:tcMar>
              <w:top w:type="dxa" w:w="100"/>
              <w:left w:type="dxa" w:w="130"/>
              <w:bottom w:type="dxa" w:w="100"/>
              <w:right w:type="dxa" w:w="130"/>
            </w:tcMar>
          </w:tcPr>
          <w:p>
            <w:r>
              <w:rPr>
                <w:rFonts w:ascii="Arial" w:cs="Arial" w:eastAsia="Arial" w:hAnsi="Arial"/>
                <w:b/>
                <w:bCs/>
                <w:color w:val="166534"/>
                <w:sz w:val="18"/>
                <w:szCs w:val="18"/>
              </w:rPr>
              <w:t xml:space="preserve">Validator</w:t>
            </w:r>
          </w:p>
          <w:p>
            <w:r>
              <w:rPr>
                <w:rFonts w:ascii="Arial" w:cs="Arial" w:eastAsia="Arial" w:hAnsi="Arial"/>
                <w:sz w:val="20"/>
                <w:szCs w:val="20"/>
              </w:rPr>
              <w:t xml:space="preserve">R. P. Bonet Chaple, Feb 2026</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2026-02-22T12:41:40.976Z</dcterms:created>
  <dcterms:modified xsi:type="dcterms:W3CDTF">2026-02-22T12:41:40.977Z</dcterms:modified>
</cp:coreProperties>
</file>

<file path=docProps/custom.xml><?xml version="1.0" encoding="utf-8"?>
<Properties xmlns="http://schemas.openxmlformats.org/officeDocument/2006/custom-properties" xmlns:vt="http://schemas.openxmlformats.org/officeDocument/2006/docPropsVTypes"/>
</file>