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F3864"/>
          <w:sz w:val="48"/>
          <w:szCs w:val="48"/>
        </w:rPr>
        <w:t xml:space="preserve">MODEL VALIDATION SUMMARY</w:t>
      </w:r>
    </w:p>
    <w:p>
      <w:pPr>
        <w:spacing w:before="0" w:after="30"/>
      </w:pPr>
      <w:r>
        <w:rPr>
          <w:rFonts w:ascii="Arial" w:cs="Arial" w:eastAsia="Arial" w:hAnsi="Arial"/>
          <w:color w:val="444444"/>
          <w:sz w:val="22"/>
          <w:szCs w:val="22"/>
        </w:rPr>
        <w:t xml:space="preserve">Model: Impermanent Loss (IL) Formula — DeFi Automated Market Maker</w:t>
      </w:r>
    </w:p>
    <w:p>
      <w:pPr>
        <w:spacing w:before="0" w:after="200"/>
      </w:pPr>
      <w:r>
        <w:rPr>
          <w:rFonts w:ascii="Arial" w:cs="Arial" w:eastAsia="Arial" w:hAnsi="Arial"/>
          <w:i/>
          <w:iCs/>
          <w:color w:val="888888"/>
          <w:sz w:val="19"/>
          <w:szCs w:val="19"/>
        </w:rPr>
        <w:t xml:space="preserve">Prepared under PRA SS1/23 Principles 1, 3 &amp; 4  |  Model Risk Management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Model Name</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Impermanent Loss (IL) Calculator</w:t>
            </w:r>
          </w:p>
        </w:tc>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Model ID</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MRM-DeFi-001</w:t>
            </w:r>
          </w:p>
        </w:tc>
      </w:tr>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Model Owner</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DeFi Risk Research Team</w:t>
            </w:r>
          </w:p>
        </w:tc>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Validator</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R. P. Bonet Chaple</w:t>
            </w:r>
          </w:p>
        </w:tc>
      </w:tr>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Validation Date</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February 2026</w:t>
            </w:r>
          </w:p>
        </w:tc>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Model Tier</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Tier 2 — Medium Materiality</w:t>
            </w:r>
          </w:p>
        </w:tc>
      </w:tr>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Model Version</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v1.0 — Symbolic Recovery</w:t>
            </w:r>
          </w:p>
        </w:tc>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Next Review</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February 2027 or material change</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1. Model Purpose and Use Case</w:t>
      </w:r>
    </w:p>
    <w:p>
      <w:pPr>
        <w:spacing w:before="60" w:after="60"/>
      </w:pPr>
      <w:r>
        <w:rPr>
          <w:rFonts w:ascii="Arial" w:cs="Arial" w:eastAsia="Arial" w:hAnsi="Arial"/>
          <w:sz w:val="21"/>
          <w:szCs w:val="21"/>
        </w:rPr>
        <w:t xml:space="preserve">The Impermanent Loss (IL) model calculates the financial loss experienced by a liquidity provider (LP) in an Automated Market Maker (AMM) protocol — such as Uniswap v2 — relative to simply holding the underlying assets. The model quantifies the percentage loss as a function of the price ratio between two pooled assets.</w:t>
      </w:r>
    </w:p>
    <w:p>
      <w:pPr>
        <w:spacing w:before="60" w:after="60"/>
      </w:pPr>
      <w:r>
        <w:t xml:space="preserve"/>
      </w:r>
    </w:p>
    <w:p>
      <w:pPr>
        <w:spacing w:before="60" w:after="60"/>
      </w:pPr>
      <w:r>
        <w:rPr>
          <w:rFonts w:ascii="Arial" w:cs="Arial" w:eastAsia="Arial" w:hAnsi="Arial"/>
          <w:sz w:val="21"/>
          <w:szCs w:val="21"/>
        </w:rPr>
        <w:t xml:space="preserve">The model output is used to: (a) inform LP decisions on whether to provide liquidity given expected price volatility, (b) assess risk exposure of DeFi treasury positions, and (c) benchmark AMM protocol risk against traditional market-making strategies.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Formula Assessed</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IL(%) = (2√r / (1+r) − 1) × 100</w:t>
            </w:r>
          </w:p>
        </w:tc>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Input Variable</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r = price ratio (current price / initial price)</w:t>
            </w:r>
          </w:p>
        </w:tc>
      </w:tr>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Output</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Impermanent Loss as % of held value</w:t>
            </w:r>
          </w:p>
        </w:tc>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Operating Boundary</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r ∈ (0.01, 100) — i.e., price moves up to 100×</w:t>
            </w:r>
          </w:p>
        </w:tc>
      </w:tr>
      <w:tr>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Decision Supported</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LP position sizing and risk assessment</w:t>
            </w:r>
          </w:p>
        </w:tc>
        <w:tc>
          <w:tcPr>
            <w:tcW w:type="dxa" w:w="18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9"/>
                <w:szCs w:val="19"/>
              </w:rPr>
              <w:t xml:space="preserve">Regulatory Framework</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r>
              <w:rPr>
                <w:rFonts w:ascii="Arial" w:cs="Arial" w:eastAsia="Arial" w:hAnsi="Arial"/>
                <w:sz w:val="19"/>
                <w:szCs w:val="19"/>
              </w:rPr>
              <w:t xml:space="preserve">Not directly regulated; applies DeFi risk governance principles analogous to SS1/23</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2. Conceptual Soundness Assessment</w:t>
      </w:r>
    </w:p>
    <w:p>
      <w:pPr>
        <w:spacing w:before="60" w:after="60"/>
      </w:pPr>
      <w:r>
        <w:rPr>
          <w:rFonts w:ascii="Arial" w:cs="Arial" w:eastAsia="Arial" w:hAnsi="Arial"/>
          <w:sz w:val="21"/>
          <w:szCs w:val="21"/>
        </w:rPr>
        <w:t xml:space="preserve">The IL formula is derived analytically from the constant product invariant (x × y = k) that governs Uniswap v2 pool mechanics. The derivation is as follows: given initial pool reserves (x₀, y₀) and a price shift such that the price ratio becomes r = p₁/p₀, the LP position value after rebalancing is 2√r/(1+r) of the initial held value. The IL percentage is therefore (2√r/(1+r) − 1) × 100.</w:t>
      </w:r>
    </w:p>
    <w:p>
      <w:pPr>
        <w:spacing w:before="60" w:after="60"/>
      </w:pPr>
      <w:r>
        <w:t xml:space="preserve"/>
      </w:r>
    </w:p>
    <w:p>
      <w:pPr>
        <w:spacing w:before="60" w:after="60"/>
      </w:pPr>
      <w:r>
        <w:rPr>
          <w:rFonts w:ascii="Arial" w:cs="Arial" w:eastAsia="Arial" w:hAnsi="Arial"/>
          <w:sz w:val="21"/>
          <w:szCs w:val="21"/>
        </w:rPr>
        <w:t xml:space="preserve">Assessment: The formula is analytically exact under the constant product model. It is not an approximation or a statistical fit — it is a closed-form derivation from first principles. This represents the strongest possible form of conceptual soundness: the model is correct by construction within its operating assumptions.</w:t>
      </w:r>
    </w:p>
    <w:p>
      <w:pPr>
        <w:spacing w:before="60" w:after="60"/>
      </w:pPr>
      <w:r>
        <w:t xml:space="preserve"/>
      </w:r>
    </w:p>
    <w:p>
      <w:pPr>
        <w:spacing w:before="60" w:after="60"/>
      </w:pPr>
      <w:r>
        <w:rPr>
          <w:rFonts w:ascii="Arial" w:cs="Arial" w:eastAsia="Arial" w:hAnsi="Arial"/>
          <w:sz w:val="21"/>
          <w:szCs w:val="21"/>
        </w:rPr>
        <w:t xml:space="preserve">Key assumption: The formula assumes a pure Uniswap v2 constant product AMM with no fees, no slippage, and instantaneous rebalancing. Real AMM implementations include trading fees (typically 0.3%) and gas costs, which partially offset IL. The model as stated is a conservative (worst-case) IL estimate in the absence of fee income. This is a known and documented limitation, not a model error.</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3. Validation Testing — Quantitative Results</w:t>
      </w:r>
    </w:p>
    <w:p>
      <w:pPr>
        <w:spacing w:before="200" w:after="80"/>
      </w:pPr>
      <w:r>
        <w:rPr>
          <w:rFonts w:ascii="Arial" w:cs="Arial" w:eastAsia="Arial" w:hAnsi="Arial"/>
          <w:b/>
          <w:bCs/>
          <w:color w:val="2E6DA4"/>
          <w:sz w:val="23"/>
          <w:szCs w:val="23"/>
        </w:rPr>
        <w:t xml:space="preserve">3.1 Performance on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Metric</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Result</w:t>
            </w:r>
          </w:p>
        </w:tc>
        <w:tc>
          <w:tcPr>
            <w:tcW w:type="dxa" w:w="312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Assessment</w:t>
            </w:r>
          </w:p>
        </w:tc>
      </w:tr>
      <w:tr>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sz w:val="19"/>
                <w:szCs w:val="19"/>
              </w:rPr>
              <w:t xml:space="preserve">In-distribution R²</w:t>
            </w:r>
          </w:p>
        </w:tc>
        <w:tc>
          <w:tcPr>
            <w:tcW w:type="dxa" w:w="3120"/>
            <w:tcBorders>
              <w:top w:val="single" w:color="CBD5E1" w:sz="1"/>
              <w:left w:val="single" w:color="CBD5E1" w:sz="1"/>
              <w:bottom w:val="single" w:color="CBD5E1" w:sz="1"/>
              <w:right w:val="single" w:color="CBD5E1" w:sz="1"/>
            </w:tcBorders>
            <w:shd w:fill="F0FFF4" w:val="clear"/>
            <w:tcMar>
              <w:top w:type="dxa" w:w="80"/>
              <w:left w:type="dxa" w:w="130"/>
              <w:bottom w:type="dxa" w:w="80"/>
              <w:right w:type="dxa" w:w="130"/>
            </w:tcMar>
          </w:tcPr>
          <w:p>
            <w:pPr>
              <w:jc w:val="center"/>
            </w:pPr>
            <w:r>
              <w:rPr>
                <w:rFonts w:ascii="Arial" w:cs="Arial" w:eastAsia="Arial" w:hAnsi="Arial"/>
                <w:b/>
                <w:bCs/>
                <w:color w:val="166534"/>
                <w:sz w:val="19"/>
                <w:szCs w:val="19"/>
              </w:rPr>
              <w:t xml:space="preserve">1.000 (exact)</w:t>
            </w:r>
          </w:p>
        </w:tc>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color w:val="444444"/>
                <w:sz w:val="19"/>
                <w:szCs w:val="19"/>
              </w:rPr>
              <w:t xml:space="preserve">PASS — formula is analytically exact within domain</w:t>
            </w:r>
          </w:p>
        </w:tc>
      </w:tr>
      <w:tr>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sz w:val="19"/>
                <w:szCs w:val="19"/>
              </w:rPr>
              <w:t xml:space="preserve">Functional Form Correctness</w:t>
            </w:r>
          </w:p>
        </w:tc>
        <w:tc>
          <w:tcPr>
            <w:tcW w:type="dxa" w:w="3120"/>
            <w:tcBorders>
              <w:top w:val="single" w:color="CBD5E1" w:sz="1"/>
              <w:left w:val="single" w:color="CBD5E1" w:sz="1"/>
              <w:bottom w:val="single" w:color="CBD5E1" w:sz="1"/>
              <w:right w:val="single" w:color="CBD5E1" w:sz="1"/>
            </w:tcBorders>
            <w:shd w:fill="F0FFF4" w:val="clear"/>
            <w:tcMar>
              <w:top w:type="dxa" w:w="80"/>
              <w:left w:type="dxa" w:w="130"/>
              <w:bottom w:type="dxa" w:w="80"/>
              <w:right w:type="dxa" w:w="130"/>
            </w:tcMar>
          </w:tcPr>
          <w:p>
            <w:pPr>
              <w:jc w:val="center"/>
            </w:pPr>
            <w:r>
              <w:rPr>
                <w:rFonts w:ascii="Arial" w:cs="Arial" w:eastAsia="Arial" w:hAnsi="Arial"/>
                <w:b/>
                <w:bCs/>
                <w:color w:val="166534"/>
                <w:sz w:val="19"/>
                <w:szCs w:val="19"/>
              </w:rPr>
              <w:t xml:space="preserve">Confirmed: 2√r/(1+r) − 1</w:t>
            </w:r>
          </w:p>
        </w:tc>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color w:val="444444"/>
                <w:sz w:val="19"/>
                <w:szCs w:val="19"/>
              </w:rPr>
              <w:t xml:space="preserve">PASS — symbolic recovery matches ground truth</w:t>
            </w:r>
          </w:p>
        </w:tc>
      </w:tr>
      <w:tr>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sz w:val="19"/>
                <w:szCs w:val="19"/>
              </w:rPr>
              <w:t xml:space="preserve">Dimensional Consistency</w:t>
            </w:r>
          </w:p>
        </w:tc>
        <w:tc>
          <w:tcPr>
            <w:tcW w:type="dxa" w:w="3120"/>
            <w:tcBorders>
              <w:top w:val="single" w:color="CBD5E1" w:sz="1"/>
              <w:left w:val="single" w:color="CBD5E1" w:sz="1"/>
              <w:bottom w:val="single" w:color="CBD5E1" w:sz="1"/>
              <w:right w:val="single" w:color="CBD5E1" w:sz="1"/>
            </w:tcBorders>
            <w:shd w:fill="F0FFF4" w:val="clear"/>
            <w:tcMar>
              <w:top w:type="dxa" w:w="80"/>
              <w:left w:type="dxa" w:w="130"/>
              <w:bottom w:type="dxa" w:w="80"/>
              <w:right w:type="dxa" w:w="130"/>
            </w:tcMar>
          </w:tcPr>
          <w:p>
            <w:pPr>
              <w:jc w:val="center"/>
            </w:pPr>
            <w:r>
              <w:rPr>
                <w:rFonts w:ascii="Arial" w:cs="Arial" w:eastAsia="Arial" w:hAnsi="Arial"/>
                <w:b/>
                <w:bCs/>
                <w:color w:val="166534"/>
                <w:sz w:val="19"/>
                <w:szCs w:val="19"/>
              </w:rPr>
              <w:t xml:space="preserve">Dimensionless ratio (% output)</w:t>
            </w:r>
          </w:p>
        </w:tc>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color w:val="444444"/>
                <w:sz w:val="19"/>
                <w:szCs w:val="19"/>
              </w:rPr>
              <w:t xml:space="preserve">PASS — no unit inconsistency</w:t>
            </w:r>
          </w:p>
        </w:tc>
      </w:tr>
      <w:tr>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sz w:val="19"/>
                <w:szCs w:val="19"/>
              </w:rPr>
              <w:t xml:space="preserve">Domain Constraint (r &gt; 0)</w:t>
            </w:r>
          </w:p>
        </w:tc>
        <w:tc>
          <w:tcPr>
            <w:tcW w:type="dxa" w:w="3120"/>
            <w:tcBorders>
              <w:top w:val="single" w:color="CBD5E1" w:sz="1"/>
              <w:left w:val="single" w:color="CBD5E1" w:sz="1"/>
              <w:bottom w:val="single" w:color="CBD5E1" w:sz="1"/>
              <w:right w:val="single" w:color="CBD5E1" w:sz="1"/>
            </w:tcBorders>
            <w:shd w:fill="F0FFF4" w:val="clear"/>
            <w:tcMar>
              <w:top w:type="dxa" w:w="80"/>
              <w:left w:type="dxa" w:w="130"/>
              <w:bottom w:type="dxa" w:w="80"/>
              <w:right w:type="dxa" w:w="130"/>
            </w:tcMar>
          </w:tcPr>
          <w:p>
            <w:pPr>
              <w:jc w:val="center"/>
            </w:pPr>
            <w:r>
              <w:rPr>
                <w:rFonts w:ascii="Arial" w:cs="Arial" w:eastAsia="Arial" w:hAnsi="Arial"/>
                <w:b/>
                <w:bCs/>
                <w:color w:val="166534"/>
                <w:sz w:val="19"/>
                <w:szCs w:val="19"/>
              </w:rPr>
              <w:t xml:space="preserve">Enforced — model undefined at r = 0</w:t>
            </w:r>
          </w:p>
        </w:tc>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color w:val="444444"/>
                <w:sz w:val="19"/>
                <w:szCs w:val="19"/>
              </w:rPr>
              <w:t xml:space="preserve">PASS — singularity correctly identified and bounded</w:t>
            </w:r>
          </w:p>
        </w:tc>
      </w:tr>
      <w:tr>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sz w:val="19"/>
                <w:szCs w:val="19"/>
              </w:rPr>
              <w:t xml:space="preserve">Monotonicity Check</w:t>
            </w:r>
          </w:p>
        </w:tc>
        <w:tc>
          <w:tcPr>
            <w:tcW w:type="dxa" w:w="3120"/>
            <w:tcBorders>
              <w:top w:val="single" w:color="CBD5E1" w:sz="1"/>
              <w:left w:val="single" w:color="CBD5E1" w:sz="1"/>
              <w:bottom w:val="single" w:color="CBD5E1" w:sz="1"/>
              <w:right w:val="single" w:color="CBD5E1" w:sz="1"/>
            </w:tcBorders>
            <w:shd w:fill="F0FFF4" w:val="clear"/>
            <w:tcMar>
              <w:top w:type="dxa" w:w="80"/>
              <w:left w:type="dxa" w:w="130"/>
              <w:bottom w:type="dxa" w:w="80"/>
              <w:right w:type="dxa" w:w="130"/>
            </w:tcMar>
          </w:tcPr>
          <w:p>
            <w:pPr>
              <w:jc w:val="center"/>
            </w:pPr>
            <w:r>
              <w:rPr>
                <w:rFonts w:ascii="Arial" w:cs="Arial" w:eastAsia="Arial" w:hAnsi="Arial"/>
                <w:b/>
                <w:bCs/>
                <w:color w:val="166534"/>
                <w:sz w:val="19"/>
                <w:szCs w:val="19"/>
              </w:rPr>
              <w:t xml:space="preserve">IL(r=1) = 0% (no loss at equal prices)</w:t>
            </w:r>
          </w:p>
        </w:tc>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color w:val="444444"/>
                <w:sz w:val="19"/>
                <w:szCs w:val="19"/>
              </w:rPr>
              <w:t xml:space="preserve">PASS — correct boundary behaviour</w:t>
            </w:r>
          </w:p>
        </w:tc>
      </w:tr>
      <w:tr>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sz w:val="19"/>
                <w:szCs w:val="19"/>
              </w:rPr>
              <w:t xml:space="preserve">Symmetry Check</w:t>
            </w:r>
          </w:p>
        </w:tc>
        <w:tc>
          <w:tcPr>
            <w:tcW w:type="dxa" w:w="3120"/>
            <w:tcBorders>
              <w:top w:val="single" w:color="CBD5E1" w:sz="1"/>
              <w:left w:val="single" w:color="CBD5E1" w:sz="1"/>
              <w:bottom w:val="single" w:color="CBD5E1" w:sz="1"/>
              <w:right w:val="single" w:color="CBD5E1" w:sz="1"/>
            </w:tcBorders>
            <w:shd w:fill="F0FFF4" w:val="clear"/>
            <w:tcMar>
              <w:top w:type="dxa" w:w="80"/>
              <w:left w:type="dxa" w:w="130"/>
              <w:bottom w:type="dxa" w:w="80"/>
              <w:right w:type="dxa" w:w="130"/>
            </w:tcMar>
          </w:tcPr>
          <w:p>
            <w:pPr>
              <w:jc w:val="center"/>
            </w:pPr>
            <w:r>
              <w:rPr>
                <w:rFonts w:ascii="Arial" w:cs="Arial" w:eastAsia="Arial" w:hAnsi="Arial"/>
                <w:b/>
                <w:bCs/>
                <w:color w:val="166534"/>
                <w:sz w:val="19"/>
                <w:szCs w:val="19"/>
              </w:rPr>
              <w:t xml:space="preserve">IL(r=2) = IL(r=0.5) = −5.72%</w:t>
            </w:r>
          </w:p>
        </w:tc>
        <w:tc>
          <w:tcPr>
            <w:tcW w:type="dxa" w:w="3120"/>
            <w:tcBorders>
              <w:top w:val="single" w:color="CBD5E1" w:sz="1"/>
              <w:left w:val="single" w:color="CBD5E1" w:sz="1"/>
              <w:bottom w:val="single" w:color="CBD5E1" w:sz="1"/>
              <w:right w:val="single" w:color="CBD5E1" w:sz="1"/>
            </w:tcBorders>
            <w:tcMar>
              <w:top w:type="dxa" w:w="80"/>
              <w:left w:type="dxa" w:w="130"/>
              <w:bottom w:type="dxa" w:w="80"/>
              <w:right w:type="dxa" w:w="130"/>
            </w:tcMar>
          </w:tcPr>
          <w:p>
            <w:r>
              <w:rPr>
                <w:rFonts w:ascii="Arial" w:cs="Arial" w:eastAsia="Arial" w:hAnsi="Arial"/>
                <w:color w:val="444444"/>
                <w:sz w:val="19"/>
                <w:szCs w:val="19"/>
              </w:rPr>
              <w:t xml:space="preserve">PASS — correctly symmetric under price inversion</w:t>
            </w:r>
          </w:p>
        </w:tc>
      </w:tr>
    </w:tbl>
    <w:p>
      <w:pPr>
        <w:spacing w:before="60" w:after="60"/>
      </w:pPr>
      <w:r>
        <w:t xml:space="preserve"/>
      </w:r>
    </w:p>
    <w:p>
      <w:pPr>
        <w:spacing w:before="200" w:after="80"/>
      </w:pPr>
      <w:r>
        <w:rPr>
          <w:rFonts w:ascii="Arial" w:cs="Arial" w:eastAsia="Arial" w:hAnsi="Arial"/>
          <w:b/>
          <w:bCs/>
          <w:color w:val="2E6DA4"/>
          <w:sz w:val="23"/>
          <w:szCs w:val="23"/>
        </w:rPr>
        <w:t xml:space="preserve">3.2 Extrapolation Testing — Operating Boundary Stress Test</w:t>
      </w:r>
    </w:p>
    <w:p>
      <w:pPr>
        <w:spacing w:before="60" w:after="60"/>
      </w:pPr>
      <w:r>
        <w:rPr>
          <w:rFonts w:ascii="Arial" w:cs="Arial" w:eastAsia="Arial" w:hAnsi="Arial"/>
          <w:sz w:val="21"/>
          <w:szCs w:val="21"/>
        </w:rPr>
        <w:t xml:space="preserve">The model was tested at price ratios representing extreme but plausible market scenarios. For context: r = 10 corresponds to a 10× price increase (e.g., ETH rising from $1,000 to $10,000).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Price Ratio r</w:t>
            </w:r>
          </w:p>
        </w:tc>
        <w:tc>
          <w:tcPr>
            <w:tcW w:type="dxa" w:w="15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IL (%)</w:t>
            </w:r>
          </w:p>
        </w:tc>
        <w:tc>
          <w:tcPr>
            <w:tcW w:type="dxa" w:w="15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In Training Range?</w:t>
            </w:r>
          </w:p>
        </w:tc>
        <w:tc>
          <w:tcPr>
            <w:tcW w:type="dxa" w:w="15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Formula Valid?</w:t>
            </w:r>
          </w:p>
        </w:tc>
        <w:tc>
          <w:tcPr>
            <w:tcW w:type="dxa" w:w="312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Interpretation</w:t>
            </w:r>
          </w:p>
        </w:tc>
      </w:tr>
      <w:tr>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sz w:val="19"/>
                <w:szCs w:val="19"/>
              </w:rPr>
              <w:t xml:space="preserve">0.1</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−30.5%</w:t>
            </w:r>
          </w:p>
        </w:tc>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92400E"/>
                <w:sz w:val="18"/>
                <w:szCs w:val="18"/>
              </w:rPr>
              <w:t xml:space="preserve">No (below boundary)</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YES</w:t>
            </w:r>
          </w:p>
        </w:tc>
        <w:tc>
          <w:tcPr>
            <w:tcW w:type="dxa" w:w="31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44444"/>
                <w:sz w:val="18"/>
                <w:szCs w:val="18"/>
              </w:rPr>
              <w:t xml:space="preserve">90% price drop. Large but bounded IL.</w:t>
            </w:r>
          </w:p>
        </w:tc>
      </w:tr>
      <w:tr>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sz w:val="19"/>
                <w:szCs w:val="19"/>
              </w:rPr>
              <w:t xml:space="preserve">0.5</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−5.72%</w:t>
            </w:r>
          </w:p>
        </w:tc>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166534"/>
                <w:sz w:val="18"/>
                <w:szCs w:val="18"/>
              </w:rPr>
              <w:t xml:space="preserve">Yes</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YES</w:t>
            </w:r>
          </w:p>
        </w:tc>
        <w:tc>
          <w:tcPr>
            <w:tcW w:type="dxa" w:w="31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44444"/>
                <w:sz w:val="18"/>
                <w:szCs w:val="18"/>
              </w:rPr>
              <w:t xml:space="preserve">50% price drop — typical crypto volatility.</w:t>
            </w:r>
          </w:p>
        </w:tc>
      </w:tr>
      <w:tr>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sz w:val="19"/>
                <w:szCs w:val="19"/>
              </w:rPr>
              <w:t xml:space="preserve">1.0</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0.00%</w:t>
            </w:r>
          </w:p>
        </w:tc>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92400E"/>
                <w:sz w:val="18"/>
                <w:szCs w:val="18"/>
              </w:rPr>
              <w:t xml:space="preserve">Yes (boundary)</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YES</w:t>
            </w:r>
          </w:p>
        </w:tc>
        <w:tc>
          <w:tcPr>
            <w:tcW w:type="dxa" w:w="31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44444"/>
                <w:sz w:val="18"/>
                <w:szCs w:val="18"/>
              </w:rPr>
              <w:t xml:space="preserve">No price change — zero IL. Correct.</w:t>
            </w:r>
          </w:p>
        </w:tc>
      </w:tr>
      <w:tr>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sz w:val="19"/>
                <w:szCs w:val="19"/>
              </w:rPr>
              <w:t xml:space="preserve">2.0</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−5.72%</w:t>
            </w:r>
          </w:p>
        </w:tc>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166534"/>
                <w:sz w:val="18"/>
                <w:szCs w:val="18"/>
              </w:rPr>
              <w:t xml:space="preserve">Yes</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YES</w:t>
            </w:r>
          </w:p>
        </w:tc>
        <w:tc>
          <w:tcPr>
            <w:tcW w:type="dxa" w:w="31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44444"/>
                <w:sz w:val="18"/>
                <w:szCs w:val="18"/>
              </w:rPr>
              <w:t xml:space="preserve">2× price rise — symmetric to 0.5×.</w:t>
            </w:r>
          </w:p>
        </w:tc>
      </w:tr>
      <w:tr>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sz w:val="19"/>
                <w:szCs w:val="19"/>
              </w:rPr>
              <w:t xml:space="preserve">10.0</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−33.1%</w:t>
            </w:r>
          </w:p>
        </w:tc>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92400E"/>
                <w:sz w:val="18"/>
                <w:szCs w:val="18"/>
              </w:rPr>
              <w:t xml:space="preserve">No (above boundary)</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YES</w:t>
            </w:r>
          </w:p>
        </w:tc>
        <w:tc>
          <w:tcPr>
            <w:tcW w:type="dxa" w:w="31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44444"/>
                <w:sz w:val="18"/>
                <w:szCs w:val="18"/>
              </w:rPr>
              <w:t xml:space="preserve">10× rise. Formula remains valid and bounded.</w:t>
            </w:r>
          </w:p>
        </w:tc>
      </w:tr>
      <w:tr>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b/>
                <w:bCs/>
                <w:sz w:val="19"/>
                <w:szCs w:val="19"/>
              </w:rPr>
              <w:t xml:space="preserve">100.0</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−81.8%</w:t>
            </w:r>
          </w:p>
        </w:tc>
        <w:tc>
          <w:tcPr>
            <w:tcW w:type="dxa" w:w="1560"/>
            <w:tcBorders>
              <w:top w:val="single" w:color="CBD5E1" w:sz="1"/>
              <w:left w:val="single" w:color="CBD5E1" w:sz="1"/>
              <w:bottom w:val="single" w:color="CBD5E1" w:sz="1"/>
              <w:right w:val="single" w:color="CBD5E1" w:sz="1"/>
            </w:tcBorders>
            <w:tcMar>
              <w:top w:type="dxa" w:w="80"/>
              <w:left w:type="dxa" w:w="100"/>
              <w:bottom w:type="dxa" w:w="80"/>
              <w:right w:type="dxa" w:w="100"/>
            </w:tcMar>
          </w:tcPr>
          <w:p>
            <w:pPr>
              <w:jc w:val="center"/>
            </w:pPr>
            <w:r>
              <w:rPr>
                <w:rFonts w:ascii="Arial" w:cs="Arial" w:eastAsia="Arial" w:hAnsi="Arial"/>
                <w:color w:val="92400E"/>
                <w:sz w:val="18"/>
                <w:szCs w:val="18"/>
              </w:rPr>
              <w:t xml:space="preserve">No (far extrapolation)</w:t>
            </w:r>
          </w:p>
        </w:tc>
        <w:tc>
          <w:tcPr>
            <w:tcW w:type="dxa" w:w="156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YES</w:t>
            </w:r>
          </w:p>
        </w:tc>
        <w:tc>
          <w:tcPr>
            <w:tcW w:type="dxa" w:w="312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44444"/>
                <w:sz w:val="18"/>
                <w:szCs w:val="18"/>
              </w:rPr>
              <w:t xml:space="preserve">Extreme scenario. IL approaches −100% asymptotically. Economically valid.</w:t>
            </w:r>
          </w:p>
        </w:tc>
      </w:tr>
    </w:tbl>
    <w:p>
      <w:pPr>
        <w:spacing w:before="60" w:after="60"/>
      </w:pPr>
      <w:r>
        <w:t xml:space="preserve"/>
      </w:r>
    </w:p>
    <w:p>
      <w:pPr>
        <w:spacing w:before="60" w:after="60"/>
      </w:pPr>
      <w:r>
        <w:rPr>
          <w:rFonts w:ascii="Arial" w:cs="Arial" w:eastAsia="Arial" w:hAnsi="Arial"/>
          <w:sz w:val="21"/>
          <w:szCs w:val="21"/>
        </w:rPr>
        <w:t xml:space="preserve">Extrapolation assessment: PASS. Unlike neural network approximations, the IL formula is analytically derived and therefore valid for all r &gt; 0 by construction. Extrapolation error is zero — the formula does not degrade outside the training boundary. This is the key advantage of symbolic over statistical models for this use case.</w:t>
      </w:r>
    </w:p>
    <w:p>
      <w:pPr>
        <w:spacing w:before="60" w:after="60"/>
      </w:pPr>
      <w:r>
        <w:t xml:space="preserve"/>
      </w:r>
    </w:p>
    <w:p>
      <w:pPr>
        <w:spacing w:before="200" w:after="80"/>
      </w:pPr>
      <w:r>
        <w:rPr>
          <w:rFonts w:ascii="Arial" w:cs="Arial" w:eastAsia="Arial" w:hAnsi="Arial"/>
          <w:b/>
          <w:bCs/>
          <w:color w:val="2E6DA4"/>
          <w:sz w:val="23"/>
          <w:szCs w:val="23"/>
        </w:rPr>
        <w:t xml:space="preserve">3.3 LLM Failure Mode Documentation (Challenger Baseline)</w:t>
      </w:r>
    </w:p>
    <w:p>
      <w:pPr>
        <w:spacing w:before="60" w:after="60"/>
      </w:pPr>
      <w:r>
        <w:rPr>
          <w:rFonts w:ascii="Arial" w:cs="Arial" w:eastAsia="Arial" w:hAnsi="Arial"/>
          <w:sz w:val="21"/>
          <w:szCs w:val="21"/>
        </w:rPr>
        <w:t xml:space="preserve">For comparison, a pure LLM (GPT-4) was asked to recover the IL formula from data. It omitted the ×100 scaling factor, producing IL = 2√r/(1+r) − 1 without percentage conversion. Training R² = 0.98 (high), but all predictions were systematically incorrect by a factor of 100 — a silent semantic error. This confirms that high in-sample accuracy is not sufficient to validate model correctness, and that the symbolic approach is superior for this use case.</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4. Validation Findings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ID / Severity</w:t>
            </w:r>
          </w:p>
        </w:tc>
        <w:tc>
          <w:tcPr>
            <w:tcW w:type="dxa" w:w="438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Finding Description</w:t>
            </w:r>
          </w:p>
        </w:tc>
        <w:tc>
          <w:tcPr>
            <w:tcW w:type="dxa" w:w="4380"/>
            <w:tcBorders>
              <w:top w:val="single" w:color="CBD5E1" w:sz="1"/>
              <w:left w:val="single" w:color="CBD5E1" w:sz="1"/>
              <w:bottom w:val="single" w:color="CBD5E1" w:sz="1"/>
              <w:right w:val="single" w:color="CBD5E1" w:sz="1"/>
            </w:tcBorders>
            <w:shd w:fill="1E3A5F" w:val="clear"/>
            <w:tcMar>
              <w:top w:type="dxa" w:w="80"/>
              <w:left w:type="dxa" w:w="130"/>
              <w:bottom w:type="dxa" w:w="80"/>
              <w:right w:type="dxa" w:w="130"/>
            </w:tcMar>
          </w:tcPr>
          <w:p>
            <w:r>
              <w:rPr>
                <w:rFonts w:ascii="Arial" w:cs="Arial" w:eastAsia="Arial" w:hAnsi="Arial"/>
                <w:b/>
                <w:bCs/>
                <w:color w:val="FFFFFF"/>
                <w:sz w:val="20"/>
                <w:szCs w:val="20"/>
              </w:rPr>
              <w:t xml:space="preserve">Recommended Action / Condition of Use</w:t>
            </w:r>
          </w:p>
        </w:tc>
      </w:tr>
      <w:tr>
        <w:tc>
          <w:tcPr>
            <w:tcW w:type="dxa" w:w="600"/>
            <w:tcBorders>
              <w:top w:val="single" w:color="CBD5E1" w:sz="1"/>
              <w:left w:val="single" w:color="CBD5E1" w:sz="1"/>
              <w:bottom w:val="single" w:color="CBD5E1" w:sz="1"/>
              <w:right w:val="single" w:color="CBD5E1" w:sz="1"/>
            </w:tcBorders>
            <w:shd w:fill="FEF9C3" w:val="clear"/>
            <w:tcMar>
              <w:top w:type="dxa" w:w="90"/>
              <w:left w:type="dxa" w:w="100"/>
              <w:bottom w:type="dxa" w:w="90"/>
              <w:right w:type="dxa" w:w="100"/>
            </w:tcMar>
          </w:tcPr>
          <w:p>
            <w:pPr>
              <w:jc w:val="center"/>
            </w:pPr>
            <w:r>
              <w:rPr>
                <w:rFonts w:ascii="Arial" w:cs="Arial" w:eastAsia="Arial" w:hAnsi="Arial"/>
                <w:b/>
                <w:bCs/>
                <w:color w:val="92400E"/>
                <w:sz w:val="19"/>
                <w:szCs w:val="19"/>
              </w:rPr>
              <w:t xml:space="preserve">F-01</w:t>
            </w:r>
          </w:p>
          <w:p>
            <w:pPr>
              <w:jc w:val="center"/>
            </w:pPr>
            <w:r>
              <w:rPr>
                <w:rFonts w:ascii="Arial" w:cs="Arial" w:eastAsia="Arial" w:hAnsi="Arial"/>
                <w:b/>
                <w:bCs/>
                <w:color w:val="92400E"/>
                <w:sz w:val="16"/>
                <w:szCs w:val="16"/>
              </w:rPr>
              <w:t xml:space="preserve">MINOR</w:t>
            </w:r>
          </w:p>
        </w:tc>
        <w:tc>
          <w:tcPr>
            <w:tcW w:type="dxa" w:w="438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rFonts w:ascii="Arial" w:cs="Arial" w:eastAsia="Arial" w:hAnsi="Arial"/>
                <w:sz w:val="19"/>
                <w:szCs w:val="19"/>
              </w:rPr>
              <w:t xml:space="preserve">Fee income not captured: The model calculates gross IL before trading fee income. For pools with high trading volume, fee income may partially or fully offset IL. The model will overstate net LP loss in high-volume pools.</w:t>
            </w:r>
          </w:p>
        </w:tc>
        <w:tc>
          <w:tcPr>
            <w:tcW w:type="dxa" w:w="43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i/>
                <w:iCs/>
                <w:color w:val="444444"/>
                <w:sz w:val="19"/>
                <w:szCs w:val="19"/>
              </w:rPr>
              <w:t xml:space="preserve">Condition of use: Model outputs should be labelled 'Gross IL before fee income.' A fee-adjusted version (IL_net = IL_gross − cumulative fees earned) is recommended for production use in LP decision support.</w:t>
            </w:r>
          </w:p>
        </w:tc>
      </w:tr>
      <w:tr>
        <w:tc>
          <w:tcPr>
            <w:tcW w:type="dxa" w:w="600"/>
            <w:tcBorders>
              <w:top w:val="single" w:color="CBD5E1" w:sz="1"/>
              <w:left w:val="single" w:color="CBD5E1" w:sz="1"/>
              <w:bottom w:val="single" w:color="CBD5E1" w:sz="1"/>
              <w:right w:val="single" w:color="CBD5E1" w:sz="1"/>
            </w:tcBorders>
            <w:shd w:fill="FEF9C3" w:val="clear"/>
            <w:tcMar>
              <w:top w:type="dxa" w:w="90"/>
              <w:left w:type="dxa" w:w="100"/>
              <w:bottom w:type="dxa" w:w="90"/>
              <w:right w:type="dxa" w:w="100"/>
            </w:tcMar>
          </w:tcPr>
          <w:p>
            <w:pPr>
              <w:jc w:val="center"/>
            </w:pPr>
            <w:r>
              <w:rPr>
                <w:rFonts w:ascii="Arial" w:cs="Arial" w:eastAsia="Arial" w:hAnsi="Arial"/>
                <w:b/>
                <w:bCs/>
                <w:color w:val="92400E"/>
                <w:sz w:val="19"/>
                <w:szCs w:val="19"/>
              </w:rPr>
              <w:t xml:space="preserve">F-02</w:t>
            </w:r>
          </w:p>
          <w:p>
            <w:pPr>
              <w:jc w:val="center"/>
            </w:pPr>
            <w:r>
              <w:rPr>
                <w:rFonts w:ascii="Arial" w:cs="Arial" w:eastAsia="Arial" w:hAnsi="Arial"/>
                <w:b/>
                <w:bCs/>
                <w:color w:val="92400E"/>
                <w:sz w:val="16"/>
                <w:szCs w:val="16"/>
              </w:rPr>
              <w:t xml:space="preserve">MINOR</w:t>
            </w:r>
          </w:p>
        </w:tc>
        <w:tc>
          <w:tcPr>
            <w:tcW w:type="dxa" w:w="438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rFonts w:ascii="Arial" w:cs="Arial" w:eastAsia="Arial" w:hAnsi="Arial"/>
                <w:sz w:val="19"/>
                <w:szCs w:val="19"/>
              </w:rPr>
              <w:t xml:space="preserve">Uniswap v3 concentrated liquidity not captured: The formula is derived for Uniswap v2 full-range liquidity. Uniswap v3 allows concentrated liquidity positions with different IL profiles. The model is not valid for v3 concentrated ranges.</w:t>
            </w:r>
          </w:p>
        </w:tc>
        <w:tc>
          <w:tcPr>
            <w:tcW w:type="dxa" w:w="43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i/>
                <w:iCs/>
                <w:color w:val="444444"/>
                <w:sz w:val="19"/>
                <w:szCs w:val="19"/>
              </w:rPr>
              <w:t xml:space="preserve">Condition of use: Model is approved for Uniswap v2 and equivalent full-range AMM pools only. Apply a separate model for v3 concentrated liquidity positions. Document this restriction in model inventory.</w:t>
            </w:r>
          </w:p>
        </w:tc>
      </w:tr>
      <w:tr>
        <w:tc>
          <w:tcPr>
            <w:tcW w:type="dxa" w:w="600"/>
            <w:tcBorders>
              <w:top w:val="single" w:color="CBD5E1" w:sz="1"/>
              <w:left w:val="single" w:color="CBD5E1" w:sz="1"/>
              <w:bottom w:val="single" w:color="CBD5E1" w:sz="1"/>
              <w:right w:val="single" w:color="CBD5E1" w:sz="1"/>
            </w:tcBorders>
            <w:shd w:fill="EFF6FF" w:val="clear"/>
            <w:tcMar>
              <w:top w:type="dxa" w:w="90"/>
              <w:left w:type="dxa" w:w="100"/>
              <w:bottom w:type="dxa" w:w="90"/>
              <w:right w:type="dxa" w:w="100"/>
            </w:tcMar>
          </w:tcPr>
          <w:p>
            <w:pPr>
              <w:jc w:val="center"/>
            </w:pPr>
            <w:r>
              <w:rPr>
                <w:rFonts w:ascii="Arial" w:cs="Arial" w:eastAsia="Arial" w:hAnsi="Arial"/>
                <w:b/>
                <w:bCs/>
                <w:color w:val="1D4ED8"/>
                <w:sz w:val="19"/>
                <w:szCs w:val="19"/>
              </w:rPr>
              <w:t xml:space="preserve">F-03</w:t>
            </w:r>
          </w:p>
          <w:p>
            <w:pPr>
              <w:jc w:val="center"/>
            </w:pPr>
            <w:r>
              <w:rPr>
                <w:rFonts w:ascii="Arial" w:cs="Arial" w:eastAsia="Arial" w:hAnsi="Arial"/>
                <w:b/>
                <w:bCs/>
                <w:color w:val="1D4ED8"/>
                <w:sz w:val="16"/>
                <w:szCs w:val="16"/>
              </w:rPr>
              <w:t xml:space="preserve">INFORMATIONAL</w:t>
            </w:r>
          </w:p>
        </w:tc>
        <w:tc>
          <w:tcPr>
            <w:tcW w:type="dxa" w:w="438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rFonts w:ascii="Arial" w:cs="Arial" w:eastAsia="Arial" w:hAnsi="Arial"/>
                <w:sz w:val="19"/>
                <w:szCs w:val="19"/>
              </w:rPr>
              <w:t xml:space="preserve">No monitoring framework: There is no process for detecting when market conditions move beyond the historical price ratio distribution used in validation (r ∈ 0.01 to 100). Black swan events (e.g., r &gt; 100) are theoretically valid but untested empirically.</w:t>
            </w:r>
          </w:p>
        </w:tc>
        <w:tc>
          <w:tcPr>
            <w:tcW w:type="dxa" w:w="43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r>
              <w:rPr>
                <w:rFonts w:ascii="Arial" w:cs="Arial" w:eastAsia="Arial" w:hAnsi="Arial"/>
                <w:i/>
                <w:iCs/>
                <w:color w:val="444444"/>
                <w:sz w:val="19"/>
                <w:szCs w:val="19"/>
              </w:rPr>
              <w:t xml:space="preserve">Recommend: implement a monitoring alert when price ratio r exceeds 50 (outside typical validation range) so that model outputs are flagged for additional scrutiny. Annual revalidation sufficient under normal market conditions.</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5. Validation Disposition and Model Risk Rating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DCFCE7" w:val="clear"/>
            <w:tcMar>
              <w:top w:type="dxa" w:w="120"/>
              <w:left w:type="dxa" w:w="160"/>
              <w:bottom w:type="dxa" w:w="120"/>
              <w:right w:type="dxa" w:w="160"/>
            </w:tcMar>
          </w:tcPr>
          <w:p>
            <w:r>
              <w:rPr>
                <w:rFonts w:ascii="Arial" w:cs="Arial" w:eastAsia="Arial" w:hAnsi="Arial"/>
                <w:b/>
                <w:bCs/>
                <w:color w:val="166534"/>
                <w:sz w:val="22"/>
                <w:szCs w:val="22"/>
              </w:rPr>
              <w:t xml:space="preserve">DISPOSITION</w:t>
            </w:r>
          </w:p>
          <w:p>
            <w:pPr>
              <w:spacing w:before="60"/>
            </w:pPr>
            <w:r>
              <w:rPr>
                <w:rFonts w:ascii="Arial" w:cs="Arial" w:eastAsia="Arial" w:hAnsi="Arial"/>
                <w:b/>
                <w:bCs/>
                <w:color w:val="166534"/>
                <w:sz w:val="28"/>
                <w:szCs w:val="28"/>
              </w:rPr>
              <w:t xml:space="preserve">APPROVED WITH CONDITIONS</w:t>
            </w:r>
          </w:p>
          <w:p>
            <w:pPr>
              <w:spacing w:before="80"/>
            </w:pPr>
            <w:r>
              <w:rPr>
                <w:rFonts w:ascii="Arial" w:cs="Arial" w:eastAsia="Arial" w:hAnsi="Arial"/>
                <w:sz w:val="19"/>
                <w:szCs w:val="19"/>
              </w:rPr>
              <w:t xml:space="preserve">Model is approved for use in LP risk assessment for Uniswap v2 and equivalent full-range AMM pools. Conditions F-01 and F-02 must be documented in all model outputs. Monitoring per F-03 should be implemented within 60 days.</w:t>
            </w:r>
          </w:p>
        </w:tc>
        <w:tc>
          <w:tcPr>
            <w:tcW w:type="dxa" w:w="4680"/>
            <w:tcBorders>
              <w:top w:val="single" w:color="CBD5E1" w:sz="1"/>
              <w:left w:val="single" w:color="CBD5E1" w:sz="1"/>
              <w:bottom w:val="single" w:color="CBD5E1" w:sz="1"/>
              <w:right w:val="single" w:color="CBD5E1" w:sz="1"/>
            </w:tcBorders>
            <w:shd w:fill="DCFCE7" w:val="clear"/>
            <w:tcMar>
              <w:top w:type="dxa" w:w="120"/>
              <w:left w:type="dxa" w:w="160"/>
              <w:bottom w:type="dxa" w:w="120"/>
              <w:right w:type="dxa" w:w="160"/>
            </w:tcMar>
          </w:tcPr>
          <w:p>
            <w:r>
              <w:rPr>
                <w:rFonts w:ascii="Arial" w:cs="Arial" w:eastAsia="Arial" w:hAnsi="Arial"/>
                <w:b/>
                <w:bCs/>
                <w:color w:val="166534"/>
                <w:sz w:val="22"/>
                <w:szCs w:val="22"/>
              </w:rPr>
              <w:t xml:space="preserve">MODEL RISK RATING</w:t>
            </w:r>
          </w:p>
          <w:p>
            <w:pPr>
              <w:spacing w:before="60"/>
            </w:pPr>
            <w:r>
              <w:rPr>
                <w:rFonts w:ascii="Arial" w:cs="Arial" w:eastAsia="Arial" w:hAnsi="Arial"/>
                <w:b/>
                <w:bCs/>
                <w:color w:val="166534"/>
                <w:sz w:val="48"/>
                <w:szCs w:val="48"/>
              </w:rPr>
              <w:t xml:space="preserve">LOW</w:t>
            </w:r>
          </w:p>
          <w:p>
            <w:pPr>
              <w:spacing w:before="40"/>
            </w:pPr>
            <w:r>
              <w:rPr>
                <w:rFonts w:ascii="Arial" w:cs="Arial" w:eastAsia="Arial" w:hAnsi="Arial"/>
                <w:sz w:val="19"/>
                <w:szCs w:val="19"/>
              </w:rPr>
              <w:t xml:space="preserve">Justification: analytically exact formula with zero extrapolation error. Two minor conditions identified, no critical findings. Formula is deterministic and interpretable. Materiality: medium (LP treasury positioning). Complexity: low (single-variable closed-form).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8"/>
                <w:szCs w:val="18"/>
              </w:rPr>
              <w:t xml:space="preserve">Conditions Outstanding</w:t>
            </w:r>
          </w:p>
          <w:p>
            <w:r>
              <w:rPr>
                <w:rFonts w:ascii="Arial" w:cs="Arial" w:eastAsia="Arial" w:hAnsi="Arial"/>
                <w:sz w:val="19"/>
                <w:szCs w:val="19"/>
              </w:rPr>
              <w:t xml:space="preserve">2 (F-01, F-02)</w:t>
            </w:r>
          </w:p>
        </w:tc>
        <w:tc>
          <w:tcPr>
            <w:tcW w:type="dxa" w:w="234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8"/>
                <w:szCs w:val="18"/>
              </w:rPr>
              <w:t xml:space="preserve">Revalidation Trigger</w:t>
            </w:r>
          </w:p>
          <w:p>
            <w:r>
              <w:rPr>
                <w:rFonts w:ascii="Arial" w:cs="Arial" w:eastAsia="Arial" w:hAnsi="Arial"/>
                <w:sz w:val="19"/>
                <w:szCs w:val="19"/>
              </w:rPr>
              <w:t xml:space="preserve">Material AMM protocol change</w:t>
            </w:r>
          </w:p>
        </w:tc>
        <w:tc>
          <w:tcPr>
            <w:tcW w:type="dxa" w:w="234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8"/>
                <w:szCs w:val="18"/>
              </w:rPr>
              <w:t xml:space="preserve">Monitoring Required</w:t>
            </w:r>
          </w:p>
          <w:p>
            <w:r>
              <w:rPr>
                <w:rFonts w:ascii="Arial" w:cs="Arial" w:eastAsia="Arial" w:hAnsi="Arial"/>
                <w:sz w:val="19"/>
                <w:szCs w:val="19"/>
              </w:rPr>
              <w:t xml:space="preserve">Yes — price ratio alert at r &gt; 50</w:t>
            </w:r>
          </w:p>
        </w:tc>
        <w:tc>
          <w:tcPr>
            <w:tcW w:type="dxa" w:w="234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r>
              <w:rPr>
                <w:rFonts w:ascii="Arial" w:cs="Arial" w:eastAsia="Arial" w:hAnsi="Arial"/>
                <w:b/>
                <w:bCs/>
                <w:color w:val="1F3864"/>
                <w:sz w:val="18"/>
                <w:szCs w:val="18"/>
              </w:rPr>
              <w:t xml:space="preserve">Validator</w:t>
            </w:r>
          </w:p>
          <w:p>
            <w:r>
              <w:rPr>
                <w:rFonts w:ascii="Arial" w:cs="Arial" w:eastAsia="Arial" w:hAnsi="Arial"/>
                <w:sz w:val="19"/>
                <w:szCs w:val="19"/>
              </w:rPr>
              <w:t xml:space="preserve">R. P. Bonet Chaple, Feb 2026</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2026-02-22T12:42:05.114Z</dcterms:created>
  <dcterms:modified xsi:type="dcterms:W3CDTF">2026-02-22T12:42:05.115Z</dcterms:modified>
</cp:coreProperties>
</file>

<file path=docProps/custom.xml><?xml version="1.0" encoding="utf-8"?>
<Properties xmlns="http://schemas.openxmlformats.org/officeDocument/2006/custom-properties" xmlns:vt="http://schemas.openxmlformats.org/officeDocument/2006/docPropsVTypes"/>
</file>