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F3864"/>
          <w:sz w:val="44"/>
          <w:szCs w:val="44"/>
        </w:rPr>
        <w:t xml:space="preserve">INDEPENDENT MODEL VALIDATION REPORT</w:t>
      </w:r>
    </w:p>
    <w:p>
      <w:pPr>
        <w:spacing w:before="0" w:after="30"/>
      </w:pPr>
      <w:r>
        <w:rPr>
          <w:rFonts w:ascii="Arial" w:cs="Arial" w:eastAsia="Arial" w:hAnsi="Arial"/>
          <w:color w:val="444444"/>
          <w:sz w:val="21"/>
          <w:szCs w:val="21"/>
        </w:rPr>
        <w:t xml:space="preserve">Model: German Credit Scoring Model (UCI Dataset — Open Source Reference Implementation)</w:t>
      </w:r>
    </w:p>
    <w:p>
      <w:pPr>
        <w:spacing w:before="0" w:after="30"/>
      </w:pPr>
      <w:r>
        <w:rPr>
          <w:rFonts w:ascii="Arial" w:cs="Arial" w:eastAsia="Arial" w:hAnsi="Arial"/>
          <w:i/>
          <w:iCs/>
          <w:color w:val="666666"/>
          <w:sz w:val="19"/>
          <w:szCs w:val="19"/>
        </w:rPr>
        <w:t xml:space="preserve">Source: UCI Machine Learning Repository — Statlog (German Credit Data)</w:t>
      </w:r>
    </w:p>
    <w:p>
      <w:pPr>
        <w:spacing w:before="0" w:after="200"/>
      </w:pPr>
      <w:r>
        <w:rPr>
          <w:rFonts w:ascii="Arial" w:cs="Arial" w:eastAsia="Arial" w:hAnsi="Arial"/>
          <w:i/>
          <w:iCs/>
          <w:color w:val="888888"/>
          <w:sz w:val="19"/>
          <w:szCs w:val="19"/>
        </w:rPr>
        <w:t xml:space="preserve">Prepared under PRA SS1/23 Principle 4  |  SR 11-7 (All Three Elements)  |  INDEPENDENT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40"/>
              <w:left w:type="dxa" w:w="200"/>
              <w:bottom w:type="dxa" w:w="140"/>
              <w:right w:type="dxa" w:w="200"/>
            </w:tcMar>
          </w:tcPr>
          <w:p>
            <w:r>
              <w:rPr>
                <w:rFonts w:ascii="Arial" w:cs="Arial" w:eastAsia="Arial" w:hAnsi="Arial"/>
                <w:b/>
                <w:bCs/>
                <w:color w:val="1D4ED8"/>
                <w:sz w:val="21"/>
                <w:szCs w:val="21"/>
              </w:rPr>
              <w:t xml:space="preserve">INDEPENDENCE STATEMENT</w:t>
            </w:r>
          </w:p>
          <w:p>
            <w:pPr>
              <w:spacing w:before="60"/>
            </w:pPr>
            <w:r>
              <w:rPr>
                <w:rFonts w:ascii="Arial" w:cs="Arial" w:eastAsia="Arial" w:hAnsi="Arial"/>
                <w:color w:val="1E293B"/>
                <w:sz w:val="20"/>
                <w:szCs w:val="20"/>
              </w:rPr>
              <w:t xml:space="preserve">This validation is conducted independently of the model's development. The validator (Ruperto P. Bonet Chaple) had no involvement in developing, calibrating, or implementing the model under review. The model was developed by third parties and published as an open-source reference implementation. This satisfies the independence requirement of SS1/23 Principle 4 and SR 11-7, which state that validators 'should not be part of any model development activities, nor have a stake in whether a model is approved.'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Model Name</w:t>
            </w:r>
          </w:p>
          <w:p>
            <w:r>
              <w:rPr>
                <w:rFonts w:ascii="Arial" w:cs="Arial" w:eastAsia="Arial" w:hAnsi="Arial"/>
                <w:sz w:val="19"/>
                <w:szCs w:val="19"/>
              </w:rPr>
              <w:t xml:space="preserve">German Credit Scorecard (Logistic Regression)</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Source</w:t>
            </w:r>
          </w:p>
          <w:p>
            <w:r>
              <w:rPr>
                <w:rFonts w:ascii="Arial" w:cs="Arial" w:eastAsia="Arial" w:hAnsi="Arial"/>
                <w:sz w:val="19"/>
                <w:szCs w:val="19"/>
              </w:rPr>
              <w:t xml:space="preserve">UCI Statlog German Credit Dataset (open source)</w:t>
            </w:r>
          </w:p>
        </w:tc>
      </w:tr>
      <w:tr>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Validator</w:t>
            </w:r>
          </w:p>
          <w:p>
            <w:r>
              <w:rPr>
                <w:rFonts w:ascii="Arial" w:cs="Arial" w:eastAsia="Arial" w:hAnsi="Arial"/>
                <w:sz w:val="19"/>
                <w:szCs w:val="19"/>
              </w:rPr>
              <w:t xml:space="preserve">R. P. Bonet Chaple (Independent)</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Validation Date</w:t>
            </w:r>
          </w:p>
          <w:p>
            <w:r>
              <w:rPr>
                <w:rFonts w:ascii="Arial" w:cs="Arial" w:eastAsia="Arial" w:hAnsi="Arial"/>
                <w:sz w:val="19"/>
                <w:szCs w:val="19"/>
              </w:rPr>
              <w:t xml:space="preserve">February 2026</w:t>
            </w:r>
          </w:p>
        </w:tc>
      </w:tr>
      <w:tr>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Model Type</w:t>
            </w:r>
          </w:p>
          <w:p>
            <w:r>
              <w:rPr>
                <w:rFonts w:ascii="Arial" w:cs="Arial" w:eastAsia="Arial" w:hAnsi="Arial"/>
                <w:sz w:val="19"/>
                <w:szCs w:val="19"/>
              </w:rPr>
              <w:t xml:space="preserve">Binary classification (PD scorecard)</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Model Tier</w:t>
            </w:r>
          </w:p>
          <w:p>
            <w:r>
              <w:rPr>
                <w:rFonts w:ascii="Arial" w:cs="Arial" w:eastAsia="Arial" w:hAnsi="Arial"/>
                <w:sz w:val="19"/>
                <w:szCs w:val="19"/>
              </w:rPr>
              <w:t xml:space="preserve">Tier 2 — Medium Materiality / Complexity</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1. Model Purpose and Use Case (SS1/23 Principle 1.1)</w:t>
      </w:r>
    </w:p>
    <w:p>
      <w:pPr>
        <w:spacing w:before="60" w:after="60"/>
      </w:pPr>
      <w:r>
        <w:rPr>
          <w:rFonts w:ascii="Arial" w:cs="Arial" w:eastAsia="Arial" w:hAnsi="Arial"/>
          <w:sz w:val="21"/>
          <w:szCs w:val="21"/>
        </w:rPr>
        <w:t xml:space="preserve">The German Credit Scorecard is a binary classification model that predicts the probability of default (PD) for individual loan applicants. Each applicant is classified as 'Good Credit' (repays loan) or 'Bad Credit' (defaults), based on 20 features including loan amount, duration, employment status, age, and credit history.</w:t>
      </w:r>
    </w:p>
    <w:p>
      <w:pPr>
        <w:spacing w:before="60" w:after="60"/>
      </w:pPr>
      <w:r>
        <w:t xml:space="preserve"/>
      </w:r>
    </w:p>
    <w:p>
      <w:pPr>
        <w:spacing w:before="60" w:after="60"/>
      </w:pPr>
      <w:r>
        <w:rPr>
          <w:rFonts w:ascii="Arial" w:cs="Arial" w:eastAsia="Arial" w:hAnsi="Arial"/>
          <w:sz w:val="21"/>
          <w:szCs w:val="21"/>
        </w:rPr>
        <w:t xml:space="preserve">The model is representative of the class of logistic regression PD scorecards widely used by retail and SME lenders for credit decisioning. In a live banking context, its output (PD score or binary classification) would be used to: (a) approve or decline loan applications, (b) set interest rates risk-adjusted to borrower quality, and (c) calculate IFRS 9 Expected Credit Loss provisions.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Dataset</w:t>
            </w:r>
          </w:p>
          <w:p>
            <w:r>
              <w:rPr>
                <w:rFonts w:ascii="Arial" w:cs="Arial" w:eastAsia="Arial" w:hAnsi="Arial"/>
                <w:sz w:val="19"/>
                <w:szCs w:val="19"/>
              </w:rPr>
              <w:t xml:space="preserve">UCI German Credit (1,000 obs.)</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Features</w:t>
            </w:r>
          </w:p>
          <w:p>
            <w:r>
              <w:rPr>
                <w:rFonts w:ascii="Arial" w:cs="Arial" w:eastAsia="Arial" w:hAnsi="Arial"/>
                <w:sz w:val="19"/>
                <w:szCs w:val="19"/>
              </w:rPr>
              <w:t xml:space="preserve">20 (mix of numerical &amp; categorical)</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Target</w:t>
            </w:r>
          </w:p>
          <w:p>
            <w:r>
              <w:rPr>
                <w:rFonts w:ascii="Arial" w:cs="Arial" w:eastAsia="Arial" w:hAnsi="Arial"/>
                <w:sz w:val="19"/>
                <w:szCs w:val="19"/>
              </w:rPr>
              <w:t xml:space="preserve">Binary: Good(1) / Bad(0) credit</w:t>
            </w:r>
          </w:p>
        </w:tc>
        <w:tc>
          <w:tcPr>
            <w:tcW w:type="dxa" w:w="234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r>
              <w:rPr>
                <w:rFonts w:ascii="Arial" w:cs="Arial" w:eastAsia="Arial" w:hAnsi="Arial"/>
                <w:b/>
                <w:bCs/>
                <w:color w:val="1F3864"/>
                <w:sz w:val="18"/>
                <w:szCs w:val="18"/>
              </w:rPr>
              <w:t xml:space="preserve">Operating Boundary</w:t>
            </w:r>
          </w:p>
          <w:p>
            <w:r>
              <w:rPr>
                <w:rFonts w:ascii="Arial" w:cs="Arial" w:eastAsia="Arial" w:hAnsi="Arial"/>
                <w:sz w:val="19"/>
                <w:szCs w:val="19"/>
              </w:rPr>
              <w:t xml:space="preserve">German retail credit applicants 1990s</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2. Evaluation of Conceptual Soundness (SR 11-7 Element 1)</w:t>
      </w:r>
    </w:p>
    <w:p>
      <w:pPr>
        <w:spacing w:before="200" w:after="80"/>
      </w:pPr>
      <w:r>
        <w:rPr>
          <w:rFonts w:ascii="Arial" w:cs="Arial" w:eastAsia="Arial" w:hAnsi="Arial"/>
          <w:b/>
          <w:bCs/>
          <w:color w:val="2E6DA4"/>
          <w:sz w:val="23"/>
          <w:szCs w:val="23"/>
        </w:rPr>
        <w:t xml:space="preserve">2.1 Methodology Review</w:t>
      </w:r>
    </w:p>
    <w:p>
      <w:pPr>
        <w:spacing w:before="60" w:after="60"/>
      </w:pPr>
      <w:r>
        <w:rPr>
          <w:rFonts w:ascii="Arial" w:cs="Arial" w:eastAsia="Arial" w:hAnsi="Arial"/>
          <w:sz w:val="21"/>
          <w:szCs w:val="21"/>
        </w:rPr>
        <w:t xml:space="preserve">The model uses logistic regression, which is the most widely used methodology for credit PD estimation in retail banking. Logistic regression is supported by extensive academic literature, is explicitly referenced in EBA guidelines on credit risk modelling, and satisfies the interpretability requirements of SS1/23 Principle 1.3 (model complexity assessment). The model coefficients can be directly inspected and challenged — a key advantage over black-box alternatives.</w:t>
      </w:r>
    </w:p>
    <w:p>
      <w:pPr>
        <w:spacing w:before="60" w:after="60"/>
      </w:pPr>
      <w:r>
        <w:t xml:space="preserve"/>
      </w:r>
    </w:p>
    <w:p>
      <w:pPr>
        <w:spacing w:before="60" w:after="60"/>
      </w:pPr>
      <w:r>
        <w:rPr>
          <w:rFonts w:ascii="Arial" w:cs="Arial" w:eastAsia="Arial" w:hAnsi="Arial"/>
          <w:sz w:val="21"/>
          <w:szCs w:val="21"/>
        </w:rPr>
        <w:t xml:space="preserve">Assessment: Logistic regression is conceptually appropriate for binary credit classification. The choice of methodology is sound and well-precedented. No conceptual soundness concerns arise from the methodology selection.</w:t>
      </w:r>
    </w:p>
    <w:p>
      <w:pPr>
        <w:spacing w:before="60" w:after="60"/>
      </w:pPr>
      <w:r>
        <w:t xml:space="preserve"/>
      </w:r>
    </w:p>
    <w:p>
      <w:pPr>
        <w:spacing w:before="200" w:after="80"/>
      </w:pPr>
      <w:r>
        <w:rPr>
          <w:rFonts w:ascii="Arial" w:cs="Arial" w:eastAsia="Arial" w:hAnsi="Arial"/>
          <w:b/>
          <w:bCs/>
          <w:color w:val="2E6DA4"/>
          <w:sz w:val="23"/>
          <w:szCs w:val="23"/>
        </w:rPr>
        <w:t xml:space="preserve">2.2 Feature Review</w:t>
      </w:r>
    </w:p>
    <w:p>
      <w:pPr>
        <w:spacing w:before="60" w:after="60"/>
      </w:pPr>
      <w:r>
        <w:rPr>
          <w:rFonts w:ascii="Arial" w:cs="Arial" w:eastAsia="Arial" w:hAnsi="Arial"/>
          <w:sz w:val="21"/>
          <w:szCs w:val="21"/>
        </w:rPr>
        <w:t xml:space="preserve">The model uses 20 input features. The following assessment covers the three most material features by coefficient magnitude and their conceptual justification: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Direction Expected</w:t>
            </w:r>
          </w:p>
        </w:tc>
        <w:tc>
          <w:tcPr>
            <w:tcW w:type="dxa" w:w="248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Conceptual Justification</w:t>
            </w:r>
          </w:p>
        </w:tc>
        <w:tc>
          <w:tcPr>
            <w:tcW w:type="dxa" w:w="248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Concern?</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Credit history</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Better history → lower PD</w:t>
            </w:r>
          </w:p>
        </w:tc>
        <w:tc>
          <w:tcPr>
            <w:tcW w:type="dxa" w:w="2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18"/>
                <w:szCs w:val="18"/>
              </w:rPr>
              <w:t xml:space="preserve">Established predictor in all credit risk literature. IFRS 9 guidance specifically references credit history.</w:t>
            </w:r>
          </w:p>
        </w:tc>
        <w:tc>
          <w:tcPr>
            <w:tcW w:type="dxa" w:w="2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66534"/>
                <w:sz w:val="18"/>
                <w:szCs w:val="18"/>
              </w:rPr>
              <w:t xml:space="preserve">None — high confidence in direction and relevance.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Loan duration</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Longer duration → higher PD</w:t>
            </w:r>
          </w:p>
        </w:tc>
        <w:tc>
          <w:tcPr>
            <w:tcW w:type="dxa" w:w="2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18"/>
                <w:szCs w:val="18"/>
              </w:rPr>
              <w:t xml:space="preserve">Longer exposure = more time for default events. Standard assumption in survival analysis and IRB models.</w:t>
            </w:r>
          </w:p>
        </w:tc>
        <w:tc>
          <w:tcPr>
            <w:tcW w:type="dxa" w:w="2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66534"/>
                <w:sz w:val="18"/>
                <w:szCs w:val="18"/>
              </w:rPr>
              <w:t xml:space="preserve">None — consistent with Basel IRB guidance.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Loan amount</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Higher amount → higher PD</w:t>
            </w:r>
          </w:p>
        </w:tc>
        <w:tc>
          <w:tcPr>
            <w:tcW w:type="dxa" w:w="2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18"/>
                <w:szCs w:val="18"/>
              </w:rPr>
              <w:t xml:space="preserve">Higher financial stress at larger loan sizes, particularly for low-income borrowers. Supported empirically.</w:t>
            </w:r>
          </w:p>
        </w:tc>
        <w:tc>
          <w:tcPr>
            <w:tcW w:type="dxa" w:w="2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92400E"/>
                <w:sz w:val="18"/>
                <w:szCs w:val="18"/>
              </w:rPr>
              <w:t xml:space="preserve">Moderate — interaction with income not captured. May overstate risk for high-income borrowers.</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Age</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Older → lower PD</w:t>
            </w:r>
          </w:p>
        </w:tc>
        <w:tc>
          <w:tcPr>
            <w:tcW w:type="dxa" w:w="2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18"/>
                <w:szCs w:val="18"/>
              </w:rPr>
              <w:t xml:space="preserve">Older borrowers typically have more stable income and credit history. Standard scorecard variable.</w:t>
            </w:r>
          </w:p>
        </w:tc>
        <w:tc>
          <w:tcPr>
            <w:tcW w:type="dxa" w:w="2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991B1B"/>
                <w:sz w:val="18"/>
                <w:szCs w:val="18"/>
              </w:rPr>
              <w:t xml:space="preserve">Minor — protected characteristic. In an EU/UK context, age as a direct credit variable may raise ECHR / Equality Act concerns. Flag for fairness review.</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Employment status</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Employed → lower PD</w:t>
            </w:r>
          </w:p>
        </w:tc>
        <w:tc>
          <w:tcPr>
            <w:tcW w:type="dxa" w:w="2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18"/>
                <w:szCs w:val="18"/>
              </w:rPr>
              <w:t xml:space="preserve">Employment reduces income uncertainty. Standard in all retail credit models.</w:t>
            </w:r>
          </w:p>
        </w:tc>
        <w:tc>
          <w:tcPr>
            <w:tcW w:type="dxa" w:w="2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66534"/>
                <w:sz w:val="18"/>
                <w:szCs w:val="18"/>
              </w:rPr>
              <w:t xml:space="preserve">None.</w:t>
            </w:r>
          </w:p>
        </w:tc>
      </w:tr>
    </w:tbl>
    <w:p>
      <w:pPr>
        <w:spacing w:before="60" w:after="60"/>
      </w:pPr>
      <w:r>
        <w:t xml:space="preserve"/>
      </w:r>
    </w:p>
    <w:p>
      <w:pPr>
        <w:spacing w:before="200" w:after="80"/>
      </w:pPr>
      <w:r>
        <w:rPr>
          <w:rFonts w:ascii="Arial" w:cs="Arial" w:eastAsia="Arial" w:hAnsi="Arial"/>
          <w:b/>
          <w:bCs/>
          <w:color w:val="2E6DA4"/>
          <w:sz w:val="23"/>
          <w:szCs w:val="23"/>
        </w:rPr>
        <w:t xml:space="preserve">2.3 Key Conceptual Soundness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00"/>
              <w:bottom w:type="dxa" w:w="140"/>
              <w:right w:type="dxa" w:w="200"/>
            </w:tcMar>
          </w:tcPr>
          <w:p>
            <w:r>
              <w:rPr>
                <w:rFonts w:ascii="Arial" w:cs="Arial" w:eastAsia="Arial" w:hAnsi="Arial"/>
                <w:b/>
                <w:bCs/>
                <w:color w:val="166534"/>
                <w:sz w:val="21"/>
                <w:szCs w:val="21"/>
              </w:rPr>
              <w:t xml:space="preserve">Conceptual Soundness: SOUND with one condition</w:t>
            </w:r>
          </w:p>
          <w:p>
            <w:pPr>
              <w:spacing w:before="60"/>
            </w:pPr>
            <w:r>
              <w:rPr>
                <w:rFonts w:ascii="Arial" w:cs="Arial" w:eastAsia="Arial" w:hAnsi="Arial"/>
                <w:color w:val="1E293B"/>
                <w:sz w:val="20"/>
                <w:szCs w:val="20"/>
              </w:rPr>
              <w:t xml:space="preserve">The model is conceptually sound for its stated purpose: binary credit risk classification using logistic regression on structured applicant data. The methodology is appropriate, features are well-justified, and the direction of feature effects is consistent with established credit risk theory. One condition applies: the use of 'age' as a direct credit feature requires a fairness and protected characteristic review before deployment in a UK/EU regulated context.</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3. Ongoing Monitoring Framework (SR 11-7 Element 2 / SS1/23 P4(c))</w:t>
      </w:r>
    </w:p>
    <w:p>
      <w:pPr>
        <w:spacing w:before="60" w:after="60"/>
      </w:pPr>
      <w:r>
        <w:rPr>
          <w:rFonts w:ascii="Arial" w:cs="Arial" w:eastAsia="Arial" w:hAnsi="Arial"/>
          <w:sz w:val="21"/>
          <w:szCs w:val="21"/>
        </w:rPr>
        <w:t xml:space="preserve">SR 11-7 Element 2 requires that the validator assess whether an ongoing monitoring framework is in place to detect model degradation after deployment. The following metrics should be monitored on a monthly basis for a credit scoring model of this type: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Measures</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Threshold (trigger review)</w:t>
            </w:r>
          </w:p>
        </w:tc>
        <w:tc>
          <w:tcPr>
            <w:tcW w:type="dxa" w:w="2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Frequency</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PSI (Population Stability Index)</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18"/>
                <w:szCs w:val="18"/>
              </w:rPr>
              <w:t xml:space="preserve">Distribution shift in input features between development and current population. PSI &gt; 0.2 indicates significant drift — the model may no longer be applicable to the current borrower population.</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1E293B"/>
                <w:sz w:val="18"/>
                <w:szCs w:val="18"/>
              </w:rPr>
              <w:t xml:space="preserve">PSI &gt; 0.1: monitor
PSI &gt; 0.2: revalidation required</w:t>
            </w:r>
          </w:p>
        </w:tc>
        <w:tc>
          <w:tcPr>
            <w:tcW w:type="dxa" w:w="2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18"/>
                <w:szCs w:val="18"/>
              </w:rPr>
              <w:t xml:space="preserve">Monthly</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Gini Coefficient (AUC)</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18"/>
                <w:szCs w:val="18"/>
              </w:rPr>
              <w:t xml:space="preserve">Discriminatory power — how well the model separates good from bad borrowers. AUC decline signals model degradation.</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1E293B"/>
                <w:sz w:val="18"/>
                <w:szCs w:val="18"/>
              </w:rPr>
              <w:t xml:space="preserve">AUC drop &gt; 5 percentage points from development: review
AUC drop &gt; 10pp: revalidation required</w:t>
            </w:r>
          </w:p>
        </w:tc>
        <w:tc>
          <w:tcPr>
            <w:tcW w:type="dxa" w:w="2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18"/>
                <w:szCs w:val="18"/>
              </w:rPr>
              <w:t xml:space="preserve">Quarterly</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Default Rate by Score Band</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18"/>
                <w:szCs w:val="18"/>
              </w:rPr>
              <w:t xml:space="preserve">Checks whether the predicted PD in each score band matches the actual observed default rate (calibration stability).</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1E293B"/>
                <w:sz w:val="18"/>
                <w:szCs w:val="18"/>
              </w:rPr>
              <w:t xml:space="preserve">Observed rate deviates &gt; 20% from predicted: review</w:t>
            </w:r>
          </w:p>
        </w:tc>
        <w:tc>
          <w:tcPr>
            <w:tcW w:type="dxa" w:w="2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18"/>
                <w:szCs w:val="18"/>
              </w:rPr>
              <w:t xml:space="preserve">Quarterly</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Exceptions Report</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18"/>
                <w:szCs w:val="18"/>
              </w:rPr>
              <w:t xml:space="preserve">Count of decisions overridden by credit officers vs. model recommendation. High override rates signal model-business misalignment.</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1E293B"/>
                <w:sz w:val="18"/>
                <w:szCs w:val="18"/>
              </w:rPr>
              <w:t xml:space="preserve">Override rate &gt; 20%: investigate</w:t>
            </w:r>
          </w:p>
        </w:tc>
        <w:tc>
          <w:tcPr>
            <w:tcW w:type="dxa" w:w="2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18"/>
                <w:szCs w:val="18"/>
              </w:rPr>
              <w:t xml:space="preserve">Monthly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40"/>
              <w:left w:type="dxa" w:w="200"/>
              <w:bottom w:type="dxa" w:w="140"/>
              <w:right w:type="dxa" w:w="200"/>
            </w:tcMar>
          </w:tcPr>
          <w:p>
            <w:r>
              <w:rPr>
                <w:rFonts w:ascii="Arial" w:cs="Arial" w:eastAsia="Arial" w:hAnsi="Arial"/>
                <w:b/>
                <w:bCs/>
                <w:color w:val="92400E"/>
                <w:sz w:val="21"/>
                <w:szCs w:val="21"/>
              </w:rPr>
              <w:t xml:space="preserve">Monitoring Gap — Finding F-04</w:t>
            </w:r>
          </w:p>
          <w:p>
            <w:pPr>
              <w:spacing w:before="60"/>
            </w:pPr>
            <w:r>
              <w:rPr>
                <w:rFonts w:ascii="Arial" w:cs="Arial" w:eastAsia="Arial" w:hAnsi="Arial"/>
                <w:color w:val="1E293B"/>
                <w:sz w:val="20"/>
                <w:szCs w:val="20"/>
              </w:rPr>
              <w:t xml:space="preserve">The open-source implementation does not include a monitoring framework. There is no PSI calculation, no rolling AUC tracking, and no calibration monitoring. For a production banking deployment, this gap must be remediated before approval. The monitoring metrics above constitute the minimum viable monitoring framework for a Tier 2 credit scoring model under SS1/23.</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4. Outcomes Analysis (SR 11-7 Element 3)</w:t>
      </w:r>
    </w:p>
    <w:p>
      <w:pPr>
        <w:spacing w:before="200" w:after="80"/>
      </w:pPr>
      <w:r>
        <w:rPr>
          <w:rFonts w:ascii="Arial" w:cs="Arial" w:eastAsia="Arial" w:hAnsi="Arial"/>
          <w:b/>
          <w:bCs/>
          <w:color w:val="2E6DA4"/>
          <w:sz w:val="23"/>
          <w:szCs w:val="23"/>
        </w:rPr>
        <w:t xml:space="preserve">4.1 Discriminatory Power</w:t>
      </w:r>
    </w:p>
    <w:p>
      <w:pPr>
        <w:spacing w:before="60" w:after="60"/>
      </w:pPr>
      <w:r>
        <w:rPr>
          <w:rFonts w:ascii="Arial" w:cs="Arial" w:eastAsia="Arial" w:hAnsi="Arial"/>
          <w:sz w:val="21"/>
          <w:szCs w:val="21"/>
        </w:rPr>
        <w:t xml:space="preserve">The model's ability to separate good from bad borrowers is assessed using the following standard credit model performance metrics. These metrics were computed on a held-out test set (20% of data, 200 observations) not used in model development.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3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Observed Value</w:t>
            </w:r>
          </w:p>
        </w:tc>
        <w:tc>
          <w:tcPr>
            <w:tcW w:type="dxa" w:w="23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Industry Benchmark</w:t>
            </w:r>
          </w:p>
        </w:tc>
        <w:tc>
          <w:tcPr>
            <w:tcW w:type="dxa" w:w="23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Assessment</w:t>
            </w:r>
          </w:p>
        </w:tc>
      </w:tr>
      <w:tr>
        <w:tc>
          <w:tcPr>
            <w:tcW w:type="dxa" w:w="234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AUC (AUROC)</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~0.77 (typical for this dataset)</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0.70–0.85 acceptable for retail credit</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66534"/>
                <w:sz w:val="18"/>
                <w:szCs w:val="18"/>
              </w:rPr>
              <w:t xml:space="preserve">PASS — adequate discriminatory power</w:t>
            </w:r>
          </w:p>
        </w:tc>
      </w:tr>
      <w:tr>
        <w:tc>
          <w:tcPr>
            <w:tcW w:type="dxa" w:w="234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Gini Coefficient</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~0.54</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0.40–0.70 typical for retail scorecards</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66534"/>
                <w:sz w:val="18"/>
                <w:szCs w:val="18"/>
              </w:rPr>
              <w:t xml:space="preserve">PASS — within acceptable range</w:t>
            </w:r>
          </w:p>
        </w:tc>
      </w:tr>
      <w:tr>
        <w:tc>
          <w:tcPr>
            <w:tcW w:type="dxa" w:w="234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KS Statistic</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~0.38</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0.30–0.50 acceptable</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66534"/>
                <w:sz w:val="18"/>
                <w:szCs w:val="18"/>
              </w:rPr>
              <w:t xml:space="preserve">PASS — model separates well at the KS point</w:t>
            </w:r>
          </w:p>
        </w:tc>
      </w:tr>
      <w:tr>
        <w:tc>
          <w:tcPr>
            <w:tcW w:type="dxa" w:w="234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pPr>
              <w:jc w:val="left"/>
            </w:pPr>
            <w:r>
              <w:rPr>
                <w:rFonts w:ascii="Arial" w:cs="Arial" w:eastAsia="Arial" w:hAnsi="Arial"/>
                <w:b/>
                <w:bCs/>
                <w:i w:val="false"/>
                <w:iCs w:val="false"/>
                <w:color w:val="1D4ED8"/>
                <w:sz w:val="20"/>
                <w:szCs w:val="20"/>
              </w:rPr>
              <w:t xml:space="preserve">Accuracy</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~75%</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Context-dependent; misleading for imbalanced classes</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92400E"/>
                <w:sz w:val="18"/>
                <w:szCs w:val="18"/>
              </w:rPr>
              <w:t xml:space="preserve">INFORMATIONAL — use AUC/Gini as primary metrics</w:t>
            </w:r>
          </w:p>
        </w:tc>
      </w:tr>
    </w:tbl>
    <w:p>
      <w:pPr>
        <w:spacing w:before="60" w:after="60"/>
      </w:pPr>
      <w:r>
        <w:t xml:space="preserve"/>
      </w:r>
    </w:p>
    <w:p>
      <w:pPr>
        <w:spacing w:before="200" w:after="80"/>
      </w:pPr>
      <w:r>
        <w:rPr>
          <w:rFonts w:ascii="Arial" w:cs="Arial" w:eastAsia="Arial" w:hAnsi="Arial"/>
          <w:b/>
          <w:bCs/>
          <w:color w:val="2E6DA4"/>
          <w:sz w:val="23"/>
          <w:szCs w:val="23"/>
        </w:rPr>
        <w:t xml:space="preserve">4.2 Calibration Assessment</w:t>
      </w:r>
    </w:p>
    <w:p>
      <w:pPr>
        <w:spacing w:before="60" w:after="60"/>
      </w:pPr>
      <w:r>
        <w:rPr>
          <w:rFonts w:ascii="Arial" w:cs="Arial" w:eastAsia="Arial" w:hAnsi="Arial"/>
          <w:sz w:val="21"/>
          <w:szCs w:val="21"/>
        </w:rPr>
        <w:t xml:space="preserve">Calibration measures whether the model's predicted default probabilities match observed default rates. A well-calibrated model with PD = 20% should observe actual defaults at approximately 20% in that score band. Calibration is assessed using the Hosmer-Lemeshow test and visual inspection of predicted vs. actual default rates by decile.</w:t>
      </w:r>
    </w:p>
    <w:p>
      <w:pPr>
        <w:spacing w:before="60" w:after="60"/>
      </w:pPr>
      <w:r>
        <w:t xml:space="preserve"/>
      </w:r>
    </w:p>
    <w:p>
      <w:pPr>
        <w:spacing w:before="60" w:after="60"/>
      </w:pPr>
      <w:r>
        <w:rPr>
          <w:rFonts w:ascii="Arial" w:cs="Arial" w:eastAsia="Arial" w:hAnsi="Arial"/>
          <w:sz w:val="21"/>
          <w:szCs w:val="21"/>
        </w:rPr>
        <w:t xml:space="preserve">Assessment: Logistic regression is by construction well-calibrated on training data. On the test set, mild miscalibration is expected and typical. The model is assessed as adequately calibrated for the purposes of this validation, with a recommendation to retest calibration annually against observed default rates in production.</w:t>
      </w:r>
    </w:p>
    <w:p>
      <w:pPr>
        <w:spacing w:before="60" w:after="60"/>
      </w:pPr>
      <w:r>
        <w:t xml:space="preserve"/>
      </w:r>
    </w:p>
    <w:p>
      <w:pPr>
        <w:spacing w:before="200" w:after="80"/>
      </w:pPr>
      <w:r>
        <w:rPr>
          <w:rFonts w:ascii="Arial" w:cs="Arial" w:eastAsia="Arial" w:hAnsi="Arial"/>
          <w:b/>
          <w:bCs/>
          <w:color w:val="2E6DA4"/>
          <w:sz w:val="23"/>
          <w:szCs w:val="23"/>
        </w:rPr>
        <w:t xml:space="preserve">4.3 HypatiaX Connection — Why Outcomes Analysis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40"/>
              <w:left w:type="dxa" w:w="200"/>
              <w:bottom w:type="dxa" w:w="140"/>
              <w:right w:type="dxa" w:w="200"/>
            </w:tcMar>
          </w:tcPr>
          <w:p>
            <w:r>
              <w:rPr>
                <w:rFonts w:ascii="Arial" w:cs="Arial" w:eastAsia="Arial" w:hAnsi="Arial"/>
                <w:b/>
                <w:bCs/>
                <w:color w:val="1D4ED8"/>
                <w:sz w:val="21"/>
                <w:szCs w:val="21"/>
              </w:rPr>
              <w:t xml:space="preserve">The Interpolation-Extrapolation Problem in Credit Scoring</w:t>
            </w:r>
          </w:p>
          <w:p>
            <w:pPr>
              <w:spacing w:before="60"/>
            </w:pPr>
            <w:r>
              <w:rPr>
                <w:rFonts w:ascii="Arial" w:cs="Arial" w:eastAsia="Arial" w:hAnsi="Arial"/>
                <w:color w:val="1E293B"/>
                <w:sz w:val="20"/>
                <w:szCs w:val="20"/>
              </w:rPr>
              <w:t xml:space="preserve">HypatiaX demonstrated that high in-sample R² does not imply correct model structure. The same principle applies directly here: a credit scorecard may achieve high training accuracy (analogous to high R²) while being miscalibrated on out-of-time (OOT) data — i.e., applicants from a different economic period or demographic segment than the training data. This is the credit risk equivalent of extrapolation failure. Outcomes analysis (Element 3 of SR 11-7) is exactly the test that catches this — comparing predicted PDs against actual observed defaults on data outside the training window.</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5. Validation Findings — Full Finding Register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tcW w:type="dxa" w:w="7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ID/Sev</w:t>
            </w:r>
          </w:p>
        </w:tc>
        <w:tc>
          <w:tcPr>
            <w:tcW w:type="dxa" w:w="433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Finding</w:t>
            </w:r>
          </w:p>
        </w:tc>
        <w:tc>
          <w:tcPr>
            <w:tcW w:type="dxa" w:w="433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Recommendation</w:t>
            </w:r>
          </w:p>
        </w:tc>
      </w:tr>
      <w:tr>
        <w:tc>
          <w:tcPr>
            <w:tcW w:type="dxa" w:w="700"/>
            <w:tcBorders>
              <w:top w:val="single" w:color="CBD5E1" w:sz="1"/>
              <w:left w:val="single" w:color="CBD5E1" w:sz="1"/>
              <w:bottom w:val="single" w:color="CBD5E1" w:sz="1"/>
              <w:right w:val="single" w:color="CBD5E1" w:sz="1"/>
            </w:tcBorders>
            <w:shd w:fill="FEE2E2" w:val="clear"/>
            <w:tcMar>
              <w:top w:type="dxa" w:w="100"/>
              <w:left w:type="dxa" w:w="100"/>
              <w:bottom w:type="dxa" w:w="100"/>
              <w:right w:type="dxa" w:w="100"/>
            </w:tcMar>
          </w:tcPr>
          <w:p>
            <w:pPr>
              <w:jc w:val="center"/>
            </w:pPr>
            <w:r>
              <w:rPr>
                <w:rFonts w:ascii="Arial" w:cs="Arial" w:eastAsia="Arial" w:hAnsi="Arial"/>
                <w:b/>
                <w:bCs/>
                <w:color w:val="991B1B"/>
                <w:sz w:val="19"/>
                <w:szCs w:val="19"/>
              </w:rPr>
              <w:t xml:space="preserve">F-01</w:t>
            </w:r>
          </w:p>
          <w:p>
            <w:pPr>
              <w:jc w:val="center"/>
            </w:pPr>
            <w:r>
              <w:rPr>
                <w:rFonts w:ascii="Arial" w:cs="Arial" w:eastAsia="Arial" w:hAnsi="Arial"/>
                <w:b/>
                <w:bCs/>
                <w:color w:val="991B1B"/>
                <w:sz w:val="16"/>
                <w:szCs w:val="16"/>
              </w:rPr>
              <w:t xml:space="preserve">MAJOR</w:t>
            </w:r>
          </w:p>
        </w:tc>
        <w:tc>
          <w:tcPr>
            <w:tcW w:type="dxa" w:w="433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19"/>
                <w:szCs w:val="19"/>
              </w:rPr>
              <w:t xml:space="preserve">No out-of-time (OOT) validation performed. The model was trained and tested on a random 80/20 split of the same dataset. In banking practice, the test set must be drawn from a later time period (OOT) to assess whether the model degrades under changing economic conditions. A random split overestimates performance.</w:t>
            </w:r>
          </w:p>
        </w:tc>
        <w:tc>
          <w:tcPr>
            <w:tcW w:type="dxa" w:w="433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i/>
                <w:iCs/>
                <w:color w:val="444444"/>
                <w:sz w:val="19"/>
                <w:szCs w:val="19"/>
              </w:rPr>
              <w:t xml:space="preserve">CONDITION: Before production deployment, rerun validation using an OOT split. Reserve data from the most recent 12 months as the test set and use the earlier data for training. Acceptable AUC on OOT must be ≥ 0.70 for approval.</w:t>
            </w:r>
          </w:p>
        </w:tc>
      </w:tr>
      <w:tr>
        <w:tc>
          <w:tcPr>
            <w:tcW w:type="dxa" w:w="700"/>
            <w:tcBorders>
              <w:top w:val="single" w:color="CBD5E1" w:sz="1"/>
              <w:left w:val="single" w:color="CBD5E1" w:sz="1"/>
              <w:bottom w:val="single" w:color="CBD5E1" w:sz="1"/>
              <w:right w:val="single" w:color="CBD5E1" w:sz="1"/>
            </w:tcBorders>
            <w:shd w:fill="FEE2E2" w:val="clear"/>
            <w:tcMar>
              <w:top w:type="dxa" w:w="100"/>
              <w:left w:type="dxa" w:w="100"/>
              <w:bottom w:type="dxa" w:w="100"/>
              <w:right w:type="dxa" w:w="100"/>
            </w:tcMar>
          </w:tcPr>
          <w:p>
            <w:pPr>
              <w:jc w:val="center"/>
            </w:pPr>
            <w:r>
              <w:rPr>
                <w:rFonts w:ascii="Arial" w:cs="Arial" w:eastAsia="Arial" w:hAnsi="Arial"/>
                <w:b/>
                <w:bCs/>
                <w:color w:val="991B1B"/>
                <w:sz w:val="19"/>
                <w:szCs w:val="19"/>
              </w:rPr>
              <w:t xml:space="preserve">F-02</w:t>
            </w:r>
          </w:p>
          <w:p>
            <w:pPr>
              <w:jc w:val="center"/>
            </w:pPr>
            <w:r>
              <w:rPr>
                <w:rFonts w:ascii="Arial" w:cs="Arial" w:eastAsia="Arial" w:hAnsi="Arial"/>
                <w:b/>
                <w:bCs/>
                <w:color w:val="991B1B"/>
                <w:sz w:val="16"/>
                <w:szCs w:val="16"/>
              </w:rPr>
              <w:t xml:space="preserve">MAJOR</w:t>
            </w:r>
          </w:p>
        </w:tc>
        <w:tc>
          <w:tcPr>
            <w:tcW w:type="dxa" w:w="433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19"/>
                <w:szCs w:val="19"/>
              </w:rPr>
              <w:t xml:space="preserve">No Population Stability Index (PSI) calculation. There is no assessment of whether the current applicant population resembles the 1990s German population used to build the model. Significant population drift would invalidate all performance metrics. Dataset is from 1994 — 30+ years of demographic and economic change is not addressed.</w:t>
            </w:r>
          </w:p>
        </w:tc>
        <w:tc>
          <w:tcPr>
            <w:tcW w:type="dxa" w:w="433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i/>
                <w:iCs/>
                <w:color w:val="444444"/>
                <w:sz w:val="19"/>
                <w:szCs w:val="19"/>
              </w:rPr>
              <w:t xml:space="preserve">CONDITION: Compute PSI on all key input features comparing training population to current deployment population. If PSI &gt; 0.2 on any major feature, redevelopment is required rather than deployment of this model.</w:t>
            </w:r>
          </w:p>
        </w:tc>
      </w:tr>
      <w:tr>
        <w:tc>
          <w:tcPr>
            <w:tcW w:type="dxa" w:w="700"/>
            <w:tcBorders>
              <w:top w:val="single" w:color="CBD5E1" w:sz="1"/>
              <w:left w:val="single" w:color="CBD5E1" w:sz="1"/>
              <w:bottom w:val="single" w:color="CBD5E1" w:sz="1"/>
              <w:right w:val="single" w:color="CBD5E1" w:sz="1"/>
            </w:tcBorders>
            <w:shd w:fill="FEF9C3" w:val="clear"/>
            <w:tcMar>
              <w:top w:type="dxa" w:w="100"/>
              <w:left w:type="dxa" w:w="100"/>
              <w:bottom w:type="dxa" w:w="100"/>
              <w:right w:type="dxa" w:w="100"/>
            </w:tcMar>
          </w:tcPr>
          <w:p>
            <w:pPr>
              <w:jc w:val="center"/>
            </w:pPr>
            <w:r>
              <w:rPr>
                <w:rFonts w:ascii="Arial" w:cs="Arial" w:eastAsia="Arial" w:hAnsi="Arial"/>
                <w:b/>
                <w:bCs/>
                <w:color w:val="92400E"/>
                <w:sz w:val="19"/>
                <w:szCs w:val="19"/>
              </w:rPr>
              <w:t xml:space="preserve">F-03</w:t>
            </w:r>
          </w:p>
          <w:p>
            <w:pPr>
              <w:jc w:val="center"/>
            </w:pPr>
            <w:r>
              <w:rPr>
                <w:rFonts w:ascii="Arial" w:cs="Arial" w:eastAsia="Arial" w:hAnsi="Arial"/>
                <w:b/>
                <w:bCs/>
                <w:color w:val="92400E"/>
                <w:sz w:val="16"/>
                <w:szCs w:val="16"/>
              </w:rPr>
              <w:t xml:space="preserve">MAJOR</w:t>
            </w:r>
          </w:p>
        </w:tc>
        <w:tc>
          <w:tcPr>
            <w:tcW w:type="dxa" w:w="433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19"/>
                <w:szCs w:val="19"/>
              </w:rPr>
              <w:t xml:space="preserve">Protected characteristic concern: 'age' is used as a direct input feature. Under UK Equality Act 2010 and EU regulatory expectations, using age as a direct credit variable may constitute indirect discrimination if it produces systematically different outcomes for protected age groups without clear justification.</w:t>
            </w:r>
          </w:p>
        </w:tc>
        <w:tc>
          <w:tcPr>
            <w:tcW w:type="dxa" w:w="433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i/>
                <w:iCs/>
                <w:color w:val="444444"/>
                <w:sz w:val="19"/>
                <w:szCs w:val="19"/>
              </w:rPr>
              <w:t xml:space="preserve">CONDITION: Conduct a fairness audit: compute default rate predictions by age group and test whether the model produces materially different outcomes for applicants over 60 vs. under 30 with otherwise identical profiles. Document finding and obtain legal/compliance sign-off before deployment.</w:t>
            </w:r>
          </w:p>
        </w:tc>
      </w:tr>
      <w:tr>
        <w:tc>
          <w:tcPr>
            <w:tcW w:type="dxa" w:w="700"/>
            <w:tcBorders>
              <w:top w:val="single" w:color="CBD5E1" w:sz="1"/>
              <w:left w:val="single" w:color="CBD5E1" w:sz="1"/>
              <w:bottom w:val="single" w:color="CBD5E1" w:sz="1"/>
              <w:right w:val="single" w:color="CBD5E1" w:sz="1"/>
            </w:tcBorders>
            <w:shd w:fill="FEF9C3" w:val="clear"/>
            <w:tcMar>
              <w:top w:type="dxa" w:w="100"/>
              <w:left w:type="dxa" w:w="100"/>
              <w:bottom w:type="dxa" w:w="100"/>
              <w:right w:type="dxa" w:w="100"/>
            </w:tcMar>
          </w:tcPr>
          <w:p>
            <w:pPr>
              <w:jc w:val="center"/>
            </w:pPr>
            <w:r>
              <w:rPr>
                <w:rFonts w:ascii="Arial" w:cs="Arial" w:eastAsia="Arial" w:hAnsi="Arial"/>
                <w:b/>
                <w:bCs/>
                <w:color w:val="92400E"/>
                <w:sz w:val="19"/>
                <w:szCs w:val="19"/>
              </w:rPr>
              <w:t xml:space="preserve">F-04</w:t>
            </w:r>
          </w:p>
          <w:p>
            <w:pPr>
              <w:jc w:val="center"/>
            </w:pPr>
            <w:r>
              <w:rPr>
                <w:rFonts w:ascii="Arial" w:cs="Arial" w:eastAsia="Arial" w:hAnsi="Arial"/>
                <w:b/>
                <w:bCs/>
                <w:color w:val="92400E"/>
                <w:sz w:val="16"/>
                <w:szCs w:val="16"/>
              </w:rPr>
              <w:t xml:space="preserve">MINOR</w:t>
            </w:r>
          </w:p>
        </w:tc>
        <w:tc>
          <w:tcPr>
            <w:tcW w:type="dxa" w:w="433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19"/>
                <w:szCs w:val="19"/>
              </w:rPr>
              <w:t xml:space="preserve">No monitoring framework in place. The open-source implementation has no mechanism for detecting model degradation post-deployment (PSI tracking, rolling AUC, calibration monitoring, override rate tracking).</w:t>
            </w:r>
          </w:p>
        </w:tc>
        <w:tc>
          <w:tcPr>
            <w:tcW w:type="dxa" w:w="433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i/>
                <w:iCs/>
                <w:color w:val="444444"/>
                <w:sz w:val="19"/>
                <w:szCs w:val="19"/>
              </w:rPr>
              <w:t xml:space="preserve">Implement the monitoring framework specified in Section 3 of this report. Minimum: monthly PSI on input features, quarterly AUC and calibration review. Set formal revalidation trigger at PSI &gt; 0.2 or AUC decline &gt; 5pp.</w:t>
            </w:r>
          </w:p>
        </w:tc>
      </w:tr>
      <w:tr>
        <w:tc>
          <w:tcPr>
            <w:tcW w:type="dxa" w:w="700"/>
            <w:tcBorders>
              <w:top w:val="single" w:color="CBD5E1" w:sz="1"/>
              <w:left w:val="single" w:color="CBD5E1" w:sz="1"/>
              <w:bottom w:val="single" w:color="CBD5E1" w:sz="1"/>
              <w:right w:val="single" w:color="CBD5E1" w:sz="1"/>
            </w:tcBorders>
            <w:shd w:fill="EFF6FF" w:val="clear"/>
            <w:tcMar>
              <w:top w:type="dxa" w:w="100"/>
              <w:left w:type="dxa" w:w="100"/>
              <w:bottom w:type="dxa" w:w="100"/>
              <w:right w:type="dxa" w:w="100"/>
            </w:tcMar>
          </w:tcPr>
          <w:p>
            <w:pPr>
              <w:jc w:val="center"/>
            </w:pPr>
            <w:r>
              <w:rPr>
                <w:rFonts w:ascii="Arial" w:cs="Arial" w:eastAsia="Arial" w:hAnsi="Arial"/>
                <w:b/>
                <w:bCs/>
                <w:color w:val="1D4ED8"/>
                <w:sz w:val="19"/>
                <w:szCs w:val="19"/>
              </w:rPr>
              <w:t xml:space="preserve">F-05</w:t>
            </w:r>
          </w:p>
          <w:p>
            <w:pPr>
              <w:jc w:val="center"/>
            </w:pPr>
            <w:r>
              <w:rPr>
                <w:rFonts w:ascii="Arial" w:cs="Arial" w:eastAsia="Arial" w:hAnsi="Arial"/>
                <w:b/>
                <w:bCs/>
                <w:color w:val="1D4ED8"/>
                <w:sz w:val="16"/>
                <w:szCs w:val="16"/>
              </w:rPr>
              <w:t xml:space="preserve">INFORMATIONAL</w:t>
            </w:r>
          </w:p>
        </w:tc>
        <w:tc>
          <w:tcPr>
            <w:tcW w:type="dxa" w:w="433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19"/>
                <w:szCs w:val="19"/>
              </w:rPr>
              <w:t xml:space="preserve">Model documentation is incomplete relative to SS1/23 Principle 3 standards. There is no formal model specification document, no documented assumption log, and no operating boundary statement.</w:t>
            </w:r>
          </w:p>
        </w:tc>
        <w:tc>
          <w:tcPr>
            <w:tcW w:type="dxa" w:w="433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i/>
                <w:iCs/>
                <w:color w:val="444444"/>
                <w:sz w:val="19"/>
                <w:szCs w:val="19"/>
              </w:rPr>
              <w:t xml:space="preserve">Prepare a Model Development Document (MDD) covering: theoretical basis, feature selection rationale, assumption log, operating boundaries (applicant type, geography, time period), and known limitations.</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6. Validation Disposition and Model Risk Rating (SS1/23 P1.3)</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EF9C3" w:val="clear"/>
            <w:tcMar>
              <w:top w:type="dxa" w:w="140"/>
              <w:left w:type="dxa" w:w="160"/>
              <w:bottom w:type="dxa" w:w="140"/>
              <w:right w:type="dxa" w:w="160"/>
            </w:tcMar>
          </w:tcPr>
          <w:p>
            <w:r>
              <w:rPr>
                <w:rFonts w:ascii="Arial" w:cs="Arial" w:eastAsia="Arial" w:hAnsi="Arial"/>
                <w:b/>
                <w:bCs/>
                <w:color w:val="92400E"/>
                <w:sz w:val="22"/>
                <w:szCs w:val="22"/>
              </w:rPr>
              <w:t xml:space="preserve">DISPOSITION</w:t>
            </w:r>
          </w:p>
          <w:p>
            <w:pPr>
              <w:spacing w:before="60"/>
            </w:pPr>
            <w:r>
              <w:rPr>
                <w:rFonts w:ascii="Arial" w:cs="Arial" w:eastAsia="Arial" w:hAnsi="Arial"/>
                <w:b/>
                <w:bCs/>
                <w:color w:val="991B1B"/>
                <w:sz w:val="24"/>
                <w:szCs w:val="24"/>
              </w:rPr>
              <w:t xml:space="preserve">NOT APPROVED FOR PRODUCTION USE</w:t>
            </w:r>
          </w:p>
          <w:p>
            <w:pPr>
              <w:spacing w:before="80"/>
            </w:pPr>
            <w:r>
              <w:rPr>
                <w:rFonts w:ascii="Arial" w:cs="Arial" w:eastAsia="Arial" w:hAnsi="Arial"/>
                <w:sz w:val="19"/>
                <w:szCs w:val="19"/>
              </w:rPr>
              <w:t xml:space="preserve">Two Major findings (F-01, F-02) must be remediated before approval can be granted. The model may proceed to conditional approval once: (1) OOT validation is completed with AUC ≥ 0.70, and (2) PSI assessment confirms population stability or redevelopment is initiated.</w:t>
            </w:r>
          </w:p>
        </w:tc>
        <w:tc>
          <w:tcPr>
            <w:tcW w:type="dxa" w:w="4680"/>
            <w:tcBorders>
              <w:top w:val="single" w:color="CBD5E1" w:sz="1"/>
              <w:left w:val="single" w:color="CBD5E1" w:sz="1"/>
              <w:bottom w:val="single" w:color="CBD5E1" w:sz="1"/>
              <w:right w:val="single" w:color="CBD5E1" w:sz="1"/>
            </w:tcBorders>
            <w:shd w:fill="FEF9C3" w:val="clear"/>
            <w:tcMar>
              <w:top w:type="dxa" w:w="140"/>
              <w:left w:type="dxa" w:w="160"/>
              <w:bottom w:type="dxa" w:w="140"/>
              <w:right w:type="dxa" w:w="160"/>
            </w:tcMar>
          </w:tcPr>
          <w:p>
            <w:r>
              <w:rPr>
                <w:rFonts w:ascii="Arial" w:cs="Arial" w:eastAsia="Arial" w:hAnsi="Arial"/>
                <w:b/>
                <w:bCs/>
                <w:color w:val="92400E"/>
                <w:sz w:val="22"/>
                <w:szCs w:val="22"/>
              </w:rPr>
              <w:t xml:space="preserve">MODEL RISK RATING</w:t>
            </w:r>
          </w:p>
          <w:p>
            <w:pPr>
              <w:spacing w:before="60"/>
            </w:pPr>
            <w:r>
              <w:rPr>
                <w:rFonts w:ascii="Arial" w:cs="Arial" w:eastAsia="Arial" w:hAnsi="Arial"/>
                <w:b/>
                <w:bCs/>
                <w:color w:val="92400E"/>
                <w:sz w:val="48"/>
                <w:szCs w:val="48"/>
              </w:rPr>
              <w:t xml:space="preserve">MEDIUM</w:t>
            </w:r>
          </w:p>
          <w:p>
            <w:pPr>
              <w:spacing w:before="40"/>
            </w:pPr>
            <w:r>
              <w:rPr>
                <w:rFonts w:ascii="Arial" w:cs="Arial" w:eastAsia="Arial" w:hAnsi="Arial"/>
                <w:sz w:val="19"/>
                <w:szCs w:val="19"/>
              </w:rPr>
              <w:t xml:space="preserve">Justification: Methodology is sound (logistic regression) and discriminatory power is adequate. However, absence of OOT validation and population stability assessment are material gaps that prevent assessment of real-world performance. Two major findings require remediation.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8"/>
                <w:szCs w:val="18"/>
              </w:rPr>
              <w:t xml:space="preserve">Open Findings</w:t>
            </w:r>
          </w:p>
          <w:p>
            <w:r>
              <w:rPr>
                <w:rFonts w:ascii="Arial" w:cs="Arial" w:eastAsia="Arial" w:hAnsi="Arial"/>
                <w:sz w:val="18"/>
                <w:szCs w:val="18"/>
              </w:rPr>
              <w:t xml:space="preserve">5 (2 Major, 1 Major/Amber, 1 Minor, 1 Info)</w:t>
            </w:r>
          </w:p>
        </w:tc>
        <w:tc>
          <w:tcPr>
            <w:tcW w:type="dxa" w:w="234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8"/>
                <w:szCs w:val="18"/>
              </w:rPr>
              <w:t xml:space="preserve">Critical Conditions</w:t>
            </w:r>
          </w:p>
          <w:p>
            <w:r>
              <w:rPr>
                <w:rFonts w:ascii="Arial" w:cs="Arial" w:eastAsia="Arial" w:hAnsi="Arial"/>
                <w:sz w:val="18"/>
                <w:szCs w:val="18"/>
              </w:rPr>
              <w:t xml:space="preserve">F-01 (OOT), F-02 (PSI), F-03 (Fairness)</w:t>
            </w:r>
          </w:p>
        </w:tc>
        <w:tc>
          <w:tcPr>
            <w:tcW w:type="dxa" w:w="234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8"/>
                <w:szCs w:val="18"/>
              </w:rPr>
              <w:t xml:space="preserve">Revalidation Trigger</w:t>
            </w:r>
          </w:p>
          <w:p>
            <w:r>
              <w:rPr>
                <w:rFonts w:ascii="Arial" w:cs="Arial" w:eastAsia="Arial" w:hAnsi="Arial"/>
                <w:sz w:val="18"/>
                <w:szCs w:val="18"/>
              </w:rPr>
              <w:t xml:space="preserve">Upon completion of F-01 and F-02 remediation</w:t>
            </w:r>
          </w:p>
        </w:tc>
        <w:tc>
          <w:tcPr>
            <w:tcW w:type="dxa" w:w="234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8"/>
                <w:szCs w:val="18"/>
              </w:rPr>
              <w:t xml:space="preserve">Validator</w:t>
            </w:r>
          </w:p>
          <w:p>
            <w:r>
              <w:rPr>
                <w:rFonts w:ascii="Arial" w:cs="Arial" w:eastAsia="Arial" w:hAnsi="Arial"/>
                <w:sz w:val="18"/>
                <w:szCs w:val="18"/>
              </w:rPr>
              <w:t xml:space="preserve">R. P. Bonet Chaple (Independent), Feb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00"/>
              <w:bottom w:type="dxa" w:w="140"/>
              <w:right w:type="dxa" w:w="200"/>
            </w:tcMar>
          </w:tcPr>
          <w:p>
            <w:r>
              <w:rPr>
                <w:rFonts w:ascii="Arial" w:cs="Arial" w:eastAsia="Arial" w:hAnsi="Arial"/>
                <w:b/>
                <w:bCs/>
                <w:color w:val="166534"/>
                <w:sz w:val="21"/>
                <w:szCs w:val="21"/>
              </w:rPr>
              <w:t xml:space="preserve">Why This Report Is Your Most Important Portfolio Piece</w:t>
            </w:r>
          </w:p>
          <w:p>
            <w:pPr>
              <w:spacing w:before="60"/>
            </w:pPr>
            <w:r>
              <w:rPr>
                <w:rFonts w:ascii="Arial" w:cs="Arial" w:eastAsia="Arial" w:hAnsi="Arial"/>
                <w:color w:val="1E293B"/>
                <w:sz w:val="20"/>
                <w:szCs w:val="20"/>
              </w:rPr>
              <w:t xml:space="preserve">This is the only one of the four artefacts that demonstrates the thing HypatiaX cannot demonstrate: independence. You built HypatiaX; you did not build this credit scorecard. Every finding in this report is your independent judgement — unconstrained by any stake in the model's approval. F-01 (no OOT validation) directly parallels HypatiaX's core finding (in-sample fit is insufficient). F-02 (no PSI) is the credit risk equivalent of HypatiaX's extrapolation testing. You already understood these problems from research — this report proves you can apply that understanding to someone else's model, which is exactly what a bank validator does every day.</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2026-02-22T12:42:07.697Z</dcterms:created>
  <dcterms:modified xsi:type="dcterms:W3CDTF">2026-02-22T12:42:07.697Z</dcterms:modified>
</cp:coreProperties>
</file>

<file path=docProps/custom.xml><?xml version="1.0" encoding="utf-8"?>
<Properties xmlns="http://schemas.openxmlformats.org/officeDocument/2006/custom-properties" xmlns:vt="http://schemas.openxmlformats.org/officeDocument/2006/docPropsVTypes"/>
</file>