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52"/>
          <w:szCs w:val="52"/>
        </w:rPr>
        <w:t xml:space="preserve">FROM RESEARCH TO SUFFICIENT</w:t>
      </w:r>
    </w:p>
    <w:p>
      <w:pPr>
        <w:spacing w:before="0" w:after="60"/>
      </w:pPr>
      <w:r>
        <w:rPr>
          <w:rFonts w:ascii="Arial" w:cs="Arial" w:eastAsia="Arial" w:hAnsi="Arial"/>
          <w:color w:val="555555"/>
          <w:sz w:val="23"/>
          <w:szCs w:val="23"/>
        </w:rPr>
        <w:t xml:space="preserve">Exactly what HypatiaX must become to satisfy SS1/23 (PRA) and SR 11-7 (Fed) model validation requirements</w:t>
      </w:r>
    </w:p>
    <w:p>
      <w:pPr>
        <w:spacing w:before="0" w:after="220"/>
      </w:pPr>
      <w:r>
        <w:rPr>
          <w:rFonts w:ascii="Arial" w:cs="Arial" w:eastAsia="Arial" w:hAnsi="Arial"/>
          <w:i/>
          <w:iCs/>
          <w:color w:val="999999"/>
          <w:sz w:val="20"/>
          <w:szCs w:val="20"/>
        </w:rPr>
        <w:t xml:space="preserve">Ruperto Pedro Bonet Chaple  ·  February 2026</w:t>
      </w:r>
    </w:p>
    <w:p>
      <w:pPr>
        <w:pBdr>
          <w:bottom w:val="single" w:color="1F3864" w:sz="6" w:space="4"/>
        </w:pBdr>
        <w:spacing w:before="320" w:after="120"/>
      </w:pPr>
      <w:r>
        <w:rPr>
          <w:rFonts w:ascii="Arial" w:cs="Arial" w:eastAsia="Arial" w:hAnsi="Arial"/>
          <w:b/>
          <w:bCs/>
          <w:color w:val="1F3864"/>
          <w:sz w:val="28"/>
          <w:szCs w:val="28"/>
        </w:rPr>
        <w:t xml:space="preserve">The Precise Problem</w:t>
      </w:r>
    </w:p>
    <w:p>
      <w:pPr>
        <w:spacing w:before="60" w:after="60"/>
      </w:pPr>
      <w:r>
        <w:rPr>
          <w:rFonts w:ascii="Arial" w:cs="Arial" w:eastAsia="Arial" w:hAnsi="Arial"/>
          <w:sz w:val="21"/>
          <w:szCs w:val="21"/>
        </w:rPr>
        <w:t xml:space="preserve">You asked what you need to do to convert HypatiaX from 'promising' to 'sufficient' under SS1/23 and SR 11-7. The answer is not 'study more' — it is a specific translation exercise. The intellectual substance is already present. What is missing is institutional form: the vocabulary, the scope conditions, the independence structure, and the domain anchoring that regulators look for.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r>
              <w:rPr>
                <w:rFonts w:ascii="Arial" w:cs="Arial" w:eastAsia="Arial" w:hAnsi="Arial"/>
                <w:b/>
                <w:bCs/>
                <w:color w:val="1D4ED8"/>
                <w:sz w:val="21"/>
                <w:szCs w:val="21"/>
              </w:rPr>
              <w:t xml:space="preserve">The Regulator's Actual Test</w:t>
            </w:r>
          </w:p>
          <w:p>
            <w:pPr>
              <w:spacing w:before="60"/>
            </w:pPr>
            <w:r>
              <w:rPr>
                <w:rFonts w:ascii="Arial" w:cs="Arial" w:eastAsia="Arial" w:hAnsi="Arial"/>
                <w:color w:val="1E293B"/>
                <w:sz w:val="20"/>
                <w:szCs w:val="20"/>
              </w:rPr>
              <w:t xml:space="preserve">SS1/23 Principle 4 states that validation must provide 'ongoing, independent, and effective challenge to model development and use.' SR 11-7 requires three elements: (1) Evaluation of Conceptual Soundness, (2) Ongoing Monitoring including benchmarking, and (3) Outcomes Analysis including backtesting. Your HypatiaX work partially satisfies all three — but each has a specific gap that must be closed before a bank hiring manager or a PRA supervisor would call it 'sufficient.'</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The Five Translation Exercises</w:t>
      </w:r>
    </w:p>
    <w:p>
      <w:pPr>
        <w:spacing w:before="60" w:after="60"/>
      </w:pPr>
      <w:r>
        <w:rPr>
          <w:rFonts w:ascii="Arial" w:cs="Arial" w:eastAsia="Arial" w:hAnsi="Arial"/>
          <w:sz w:val="21"/>
          <w:szCs w:val="21"/>
        </w:rPr>
        <w:t xml:space="preserve">Below are the five precise things you need to do — one for each element where HypatiaX gets close but falls short of regulatory sufficiency. Each is concrete and actionable, not vague advice.</w:t>
      </w:r>
    </w:p>
    <w:p>
      <w:pPr>
        <w:spacing w:before="60" w:after="60"/>
      </w:pPr>
      <w:r>
        <w:t xml:space="preserve"/>
      </w:r>
    </w:p>
    <w:p>
      <w:pPr>
        <w:spacing w:before="200" w:after="80"/>
      </w:pPr>
      <w:r>
        <w:rPr>
          <w:rFonts w:ascii="Arial" w:cs="Arial" w:eastAsia="Arial" w:hAnsi="Arial"/>
          <w:b/>
          <w:bCs/>
          <w:color w:val="2E6DA4"/>
          <w:sz w:val="23"/>
          <w:szCs w:val="23"/>
        </w:rPr>
        <w:t xml:space="preserve">Translation 1 · Conceptual Soundness Review → Add the Challenger Model Standard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r>
              <w:rPr>
                <w:rFonts w:ascii="Arial" w:cs="Arial" w:eastAsia="Arial" w:hAnsi="Arial"/>
                <w:b/>
                <w:bCs/>
                <w:color w:val="1D4ED8"/>
                <w:sz w:val="21"/>
                <w:szCs w:val="21"/>
              </w:rPr>
              <w:t xml:space="preserve">What SS1/23 / SR 11-7 Actually Say</w:t>
            </w:r>
          </w:p>
          <w:p>
            <w:pPr>
              <w:spacing w:before="60"/>
            </w:pPr>
            <w:r>
              <w:rPr>
                <w:rFonts w:ascii="Arial" w:cs="Arial" w:eastAsia="Arial" w:hAnsi="Arial"/>
                <w:color w:val="1E293B"/>
                <w:sz w:val="20"/>
                <w:szCs w:val="20"/>
              </w:rPr>
              <w:t xml:space="preserve">SR 11-7: 'Evaluation of Conceptual Soundness involves assessing the quality of model design and construction, as well as review of documentation and empirical evidence supporting the methods used.' SS1/23 Principle 3 requires that 'the choice of modelling technique should be conceptually sound and supported by published research or industry practices.' It also requires documenting 'the model's limitations and sensitivities to changes in inputs.'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r>
              <w:rPr>
                <w:rFonts w:ascii="Arial" w:cs="Arial" w:eastAsia="Arial" w:hAnsi="Arial"/>
                <w:b/>
                <w:bCs/>
                <w:color w:val="166534"/>
                <w:sz w:val="21"/>
                <w:szCs w:val="21"/>
              </w:rPr>
              <w:t xml:space="preserve">What HypatiaX Has</w:t>
            </w:r>
          </w:p>
          <w:p>
            <w:pPr>
              <w:spacing w:before="60"/>
            </w:pPr>
            <w:r>
              <w:rPr>
                <w:rFonts w:ascii="Arial" w:cs="Arial" w:eastAsia="Arial" w:hAnsi="Arial"/>
                <w:color w:val="1E293B"/>
                <w:sz w:val="20"/>
                <w:szCs w:val="20"/>
              </w:rPr>
              <w:t xml:space="preserve">Your paper correctly identifies that pure LLM generation fails a conceptual soundness test (silent semantic errors, wrong sign conventions, API misuse) and that symbolic regression passes it (correct functional form, dimensional consistency, extrapolation validity). The failure mode taxonomy is exactly what a conceptual soundness section of a validation report looks like.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20"/>
              <w:left w:type="dxa" w:w="200"/>
              <w:bottom w:type="dxa" w:w="120"/>
              <w:right w:type="dxa" w:w="200"/>
            </w:tcMar>
          </w:tcPr>
          <w:p>
            <w:r>
              <w:rPr>
                <w:rFonts w:ascii="Arial" w:cs="Arial" w:eastAsia="Arial" w:hAnsi="Arial"/>
                <w:b/>
                <w:bCs/>
                <w:color w:val="92400E"/>
                <w:sz w:val="21"/>
                <w:szCs w:val="21"/>
              </w:rPr>
              <w:t xml:space="preserve">What Is Missing — The Precise Gap</w:t>
            </w:r>
          </w:p>
          <w:p>
            <w:pPr>
              <w:spacing w:before="60"/>
            </w:pPr>
            <w:r>
              <w:rPr>
                <w:rFonts w:ascii="Arial" w:cs="Arial" w:eastAsia="Arial" w:hAnsi="Arial"/>
                <w:color w:val="1E293B"/>
                <w:sz w:val="20"/>
                <w:szCs w:val="20"/>
              </w:rPr>
              <w:t xml:space="preserve">You evaluated the method (LLM vs. symbolic) but not competing implementations of the same method. SS1/23 and SR 11-7 both expect the validator to compare the chosen model against at least one challenger — an alternative model of similar purpose. In HypatiaX, PySR is compared to LLMs, but not to other symbolic regression systems (e.g., DSR, EQL, AI Feynman). The review is also not written in the declarative form regulators expect: 'The model is / is not conceptually sound for use case X because...'</w:t>
            </w:r>
          </w:p>
        </w:tc>
      </w:tr>
    </w:tbl>
    <w:p>
      <w:pPr>
        <w:spacing w:before="60" w:after="60"/>
      </w:pPr>
      <w:r>
        <w:t xml:space="preserve"/>
      </w:r>
    </w:p>
    <w:p>
      <w:pPr>
        <w:spacing w:before="60" w:after="60"/>
      </w:pPr>
      <w:r>
        <w:rPr>
          <w:rFonts w:ascii="Arial" w:cs="Arial" w:eastAsia="Arial" w:hAnsi="Arial"/>
          <w:b w:val="false"/>
          <w:bCs w:val="false"/>
          <w:sz w:val="21"/>
          <w:szCs w:val="21"/>
        </w:rPr>
        <w:t xml:space="preserve">WHAT TO DO: Write a one-page 'Conceptual Soundness Assessment' section for HypatiaX in validation report language. It should state: (a) the purpose of the model and intended use case, (b) the theoretical basis for the chosen approach (evolutionary symbolic regression), (c) a comparison against at least one alternative method (e.g., Deep SR or AI Feynman 2.0), and (d) an explicit statement of model limitations and the conditions under which the model's outputs should not be trusted. This is a 2–3 hour writing exercise, not further research. The evidence is already in the paper — you just need to repackage it in the declarative, conclusion-first form that regulators and validators use.</w:t>
      </w:r>
    </w:p>
    <w:p>
      <w:pPr>
        <w:spacing w:before="60" w:after="60"/>
      </w:pPr>
      <w:r>
        <w:t xml:space="preserve"/>
      </w:r>
    </w:p>
    <w:p>
      <w:pPr>
        <w:spacing w:before="200" w:after="80"/>
      </w:pPr>
      <w:r>
        <w:rPr>
          <w:rFonts w:ascii="Arial" w:cs="Arial" w:eastAsia="Arial" w:hAnsi="Arial"/>
          <w:b/>
          <w:bCs/>
          <w:color w:val="2E6DA4"/>
          <w:sz w:val="23"/>
          <w:szCs w:val="23"/>
        </w:rPr>
        <w:t xml:space="preserve">Translation 2 · Four-Layer Validation Cascade → Add Ongoing Monitoring with Thresholds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r>
              <w:rPr>
                <w:rFonts w:ascii="Arial" w:cs="Arial" w:eastAsia="Arial" w:hAnsi="Arial"/>
                <w:b/>
                <w:bCs/>
                <w:color w:val="1D4ED8"/>
                <w:sz w:val="21"/>
                <w:szCs w:val="21"/>
              </w:rPr>
              <w:t xml:space="preserve">What SS1/23 / SR 11-7 Actually Say</w:t>
            </w:r>
          </w:p>
          <w:p>
            <w:pPr>
              <w:spacing w:before="60"/>
            </w:pPr>
            <w:r>
              <w:rPr>
                <w:rFonts w:ascii="Arial" w:cs="Arial" w:eastAsia="Arial" w:hAnsi="Arial"/>
                <w:color w:val="1E293B"/>
                <w:sz w:val="20"/>
                <w:szCs w:val="20"/>
              </w:rPr>
              <w:t xml:space="preserve">SR 11-7: 'Validation activities should continue on an ongoing basis after a model goes into use to track known model limitations and to identify any new ones.' SS1/23 Principle 4 requires 'ongoing testing to confirm that the model continues to perform as intended' and sets the expectation that performance thresholds are defined — i.e., a specific value below which performance triggers revalidation or restriction. SS1/23 also requires that 'operating boundaries' be defined: the data range within which model performance is expected to be acceptable.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r>
              <w:rPr>
                <w:rFonts w:ascii="Arial" w:cs="Arial" w:eastAsia="Arial" w:hAnsi="Arial"/>
                <w:b/>
                <w:bCs/>
                <w:color w:val="166534"/>
                <w:sz w:val="21"/>
                <w:szCs w:val="21"/>
              </w:rPr>
              <w:t xml:space="preserve">What HypatiaX Has</w:t>
            </w:r>
          </w:p>
          <w:p>
            <w:pPr>
              <w:spacing w:before="60"/>
            </w:pPr>
            <w:r>
              <w:rPr>
                <w:rFonts w:ascii="Arial" w:cs="Arial" w:eastAsia="Arial" w:hAnsi="Arial"/>
                <w:color w:val="1E293B"/>
                <w:sz w:val="20"/>
                <w:szCs w:val="20"/>
              </w:rPr>
              <w:t xml:space="preserve">Your four-layer cascade (dimensional analysis → domain constraints → numerical stability → extrapolation testing) is a pre-deployment validation framework. It is exactly the right structure. The acceptance criterion (R² &gt; 0.95 AND Validation Score &gt; 80) is a quantitative threshold. The extrapolation test at 2× training range is a stress test of the operating boundary.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20"/>
              <w:left w:type="dxa" w:w="200"/>
              <w:bottom w:type="dxa" w:w="120"/>
              <w:right w:type="dxa" w:w="200"/>
            </w:tcMar>
          </w:tcPr>
          <w:p>
            <w:r>
              <w:rPr>
                <w:rFonts w:ascii="Arial" w:cs="Arial" w:eastAsia="Arial" w:hAnsi="Arial"/>
                <w:b/>
                <w:bCs/>
                <w:color w:val="92400E"/>
                <w:sz w:val="21"/>
                <w:szCs w:val="21"/>
              </w:rPr>
              <w:t xml:space="preserve">What Is Missing — The Precise Gap</w:t>
            </w:r>
          </w:p>
          <w:p>
            <w:pPr>
              <w:spacing w:before="60"/>
            </w:pPr>
            <w:r>
              <w:rPr>
                <w:rFonts w:ascii="Arial" w:cs="Arial" w:eastAsia="Arial" w:hAnsi="Arial"/>
                <w:color w:val="1E293B"/>
                <w:sz w:val="20"/>
                <w:szCs w:val="20"/>
              </w:rPr>
              <w:t xml:space="preserve">Everything in HypatiaX is a one-time, pre-deployment test. There is no monitoring framework: no concept of what happens after the model is in use, no defined trigger for revalidation, no process for detecting when data distribution shifts beyond the operating boundary in production. SS1/23 explicitly defines 'operating boundaries' (the data range within which performance is acceptable) and expects validators to assess what happens when boundaries are breached. HypatiaX defines extrapolation at 2× range but does not define what ongoing monitoring would look like if the model were deployed.</w:t>
            </w:r>
          </w:p>
        </w:tc>
      </w:tr>
    </w:tbl>
    <w:p>
      <w:pPr>
        <w:spacing w:before="60" w:after="60"/>
      </w:pPr>
      <w:r>
        <w:t xml:space="preserve"/>
      </w:r>
    </w:p>
    <w:p>
      <w:pPr>
        <w:spacing w:before="60" w:after="60"/>
      </w:pPr>
      <w:r>
        <w:rPr>
          <w:rFonts w:ascii="Arial" w:cs="Arial" w:eastAsia="Arial" w:hAnsi="Arial"/>
          <w:b w:val="false"/>
          <w:bCs w:val="false"/>
          <w:sz w:val="21"/>
          <w:szCs w:val="21"/>
        </w:rPr>
        <w:t xml:space="preserve">WHAT TO DO: Add a 'Model Monitoring Framework' appendix or section to HypatiaX (even a half-page). It should define: (a) the operating boundary for each validated equation (the x-range within which R² &gt; 0.95 holds), (b) a monitoring metric — e.g., PSI (Population Stability Index) on input variables, which flags distribution shift — with a threshold (PSI &gt; 0.2 = revalidation trigger), and (c) a revalidation frequency (e.g., annually, or triggered by a PSI breach). You already have all the data needed to compute these numbers from your five experimental campaigns. This adds one concrete deliverable that transforms your static validation framework into a lifecycle-compatible one.</w:t>
      </w:r>
    </w:p>
    <w:p>
      <w:pPr>
        <w:spacing w:before="60" w:after="60"/>
      </w:pPr>
      <w:r>
        <w:t xml:space="preserve"/>
      </w:r>
    </w:p>
    <w:p>
      <w:pPr>
        <w:spacing w:before="200" w:after="80"/>
      </w:pPr>
      <w:r>
        <w:rPr>
          <w:rFonts w:ascii="Arial" w:cs="Arial" w:eastAsia="Arial" w:hAnsi="Arial"/>
          <w:b/>
          <w:bCs/>
          <w:color w:val="2E6DA4"/>
          <w:sz w:val="23"/>
          <w:szCs w:val="23"/>
        </w:rPr>
        <w:t xml:space="preserve">Translation 3 · Outcomes Analysis → Anchor It to a Financial Decision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r>
              <w:rPr>
                <w:rFonts w:ascii="Arial" w:cs="Arial" w:eastAsia="Arial" w:hAnsi="Arial"/>
                <w:b/>
                <w:bCs/>
                <w:color w:val="1D4ED8"/>
                <w:sz w:val="21"/>
                <w:szCs w:val="21"/>
              </w:rPr>
              <w:t xml:space="preserve">What SS1/23 / SR 11-7 Actually Say</w:t>
            </w:r>
          </w:p>
          <w:p>
            <w:pPr>
              <w:spacing w:before="60"/>
            </w:pPr>
            <w:r>
              <w:rPr>
                <w:rFonts w:ascii="Arial" w:cs="Arial" w:eastAsia="Arial" w:hAnsi="Arial"/>
                <w:color w:val="1E293B"/>
                <w:sz w:val="20"/>
                <w:szCs w:val="20"/>
              </w:rPr>
              <w:t xml:space="preserve">SR 11-7: 'Outcomes Analysis involves comparing model outputs to corresponding actual outcomes. Backtesting is one form of outcome analysis.' Critically, SR 11-7 also states that model risk arises from 'the inappropriate use of modelled outputs to inform business decisions' — meaning the regulator cares whether the model output actually drives a decision correctly, not just whether it fits a curve. SS1/23 Principle 3 requires that 'the applicability to the decisions they support being verified.'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r>
              <w:rPr>
                <w:rFonts w:ascii="Arial" w:cs="Arial" w:eastAsia="Arial" w:hAnsi="Arial"/>
                <w:b/>
                <w:bCs/>
                <w:color w:val="166534"/>
                <w:sz w:val="21"/>
                <w:szCs w:val="21"/>
              </w:rPr>
              <w:t xml:space="preserve">What HypatiaX Has</w:t>
            </w:r>
          </w:p>
          <w:p>
            <w:pPr>
              <w:spacing w:before="60"/>
            </w:pPr>
            <w:r>
              <w:rPr>
                <w:rFonts w:ascii="Arial" w:cs="Arial" w:eastAsia="Arial" w:hAnsi="Arial"/>
                <w:color w:val="1E293B"/>
                <w:sz w:val="20"/>
                <w:szCs w:val="20"/>
              </w:rPr>
              <w:t xml:space="preserve">Your extrapolation testing at 2× training range is outcome analysis. The Mann-Whitney U = 0 result (p = 1.11 × 10⁻⁶) comparing Hybrid v40 vs. neural networks is statistically rigorous outcome comparison. The VaR and ES case studies (Campaign 1) test whether a model output matches a known financial quantity.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20"/>
              <w:left w:type="dxa" w:w="200"/>
              <w:bottom w:type="dxa" w:w="120"/>
              <w:right w:type="dxa" w:w="200"/>
            </w:tcMar>
          </w:tcPr>
          <w:p>
            <w:r>
              <w:rPr>
                <w:rFonts w:ascii="Arial" w:cs="Arial" w:eastAsia="Arial" w:hAnsi="Arial"/>
                <w:b/>
                <w:bCs/>
                <w:color w:val="92400E"/>
                <w:sz w:val="21"/>
                <w:szCs w:val="21"/>
              </w:rPr>
              <w:t xml:space="preserve">What Is Missing — The Precise Gap</w:t>
            </w:r>
          </w:p>
          <w:p>
            <w:pPr>
              <w:spacing w:before="60"/>
            </w:pPr>
            <w:r>
              <w:rPr>
                <w:rFonts w:ascii="Arial" w:cs="Arial" w:eastAsia="Arial" w:hAnsi="Arial"/>
                <w:color w:val="1E293B"/>
                <w:sz w:val="20"/>
                <w:szCs w:val="20"/>
              </w:rPr>
              <w:t xml:space="preserve">Your outcomes analysis tests against a mathematical ground truth (the known equation). It does not test against real-world outcomes — actual financial data where the formula is used to inform a decision and you can check whether the decision would have been correct. For VaR specifically: did the VaR model predict a loss threshold that was breached at the correct frequency? That is backtesting in the regulatory sense. Your HypatiaX VaR test checks formula recovery, not decision validity. This is the difference between 'the model produces the right formula' and 'the model produces the right answer when applied to real data.'</w:t>
            </w:r>
          </w:p>
        </w:tc>
      </w:tr>
    </w:tbl>
    <w:p>
      <w:pPr>
        <w:spacing w:before="60" w:after="60"/>
      </w:pPr>
      <w:r>
        <w:t xml:space="preserve"/>
      </w:r>
    </w:p>
    <w:p>
      <w:pPr>
        <w:spacing w:before="60" w:after="60"/>
      </w:pPr>
      <w:r>
        <w:rPr>
          <w:rFonts w:ascii="Arial" w:cs="Arial" w:eastAsia="Arial" w:hAnsi="Arial"/>
          <w:b w:val="false"/>
          <w:bCs w:val="false"/>
          <w:sz w:val="21"/>
          <w:szCs w:val="21"/>
        </w:rPr>
        <w:t xml:space="preserve">WHAT TO DO: Take your VaR formula (VaR₀.₉₅ = −μ + 1.645σ) and apply it to real financial return data (S&amp;P 500 daily returns, freely available via yfinance in Python). Run a 250-day backtesting exercise: for each day, estimate VaR from the prior 252 days of returns, then check whether the next day's actual loss exceeded it. Count the exceptions — by Basel standards, at a 99% confidence level you expect 2–3 exceptions per year. If you get 10+, the model is failing. Document this as a 'backtesting validation' with a traffic light result (green/amber/red). This takes approximately 4 hours in Python and produces a concrete financial model validation output that you can reference in interviews and on your CV.</w:t>
      </w:r>
    </w:p>
    <w:p>
      <w:pPr>
        <w:spacing w:before="60" w:after="60"/>
      </w:pPr>
      <w:r>
        <w:t xml:space="preserve"/>
      </w:r>
    </w:p>
    <w:p>
      <w:pPr>
        <w:spacing w:before="200" w:after="80"/>
      </w:pPr>
      <w:r>
        <w:rPr>
          <w:rFonts w:ascii="Arial" w:cs="Arial" w:eastAsia="Arial" w:hAnsi="Arial"/>
          <w:b/>
          <w:bCs/>
          <w:color w:val="2E6DA4"/>
          <w:sz w:val="23"/>
          <w:szCs w:val="23"/>
        </w:rPr>
        <w:t xml:space="preserve">Translation 4 · Independence — The One Thing Research Papers Cannot Provide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r>
              <w:rPr>
                <w:rFonts w:ascii="Arial" w:cs="Arial" w:eastAsia="Arial" w:hAnsi="Arial"/>
                <w:b/>
                <w:bCs/>
                <w:color w:val="1D4ED8"/>
                <w:sz w:val="21"/>
                <w:szCs w:val="21"/>
              </w:rPr>
              <w:t xml:space="preserve">What SS1/23 / SR 11-7 Actually Say</w:t>
            </w:r>
          </w:p>
          <w:p>
            <w:pPr>
              <w:spacing w:before="60"/>
            </w:pPr>
            <w:r>
              <w:rPr>
                <w:rFonts w:ascii="Arial" w:cs="Arial" w:eastAsia="Arial" w:hAnsi="Arial"/>
                <w:color w:val="1E293B"/>
                <w:sz w:val="20"/>
                <w:szCs w:val="20"/>
              </w:rPr>
              <w:t xml:space="preserve">SS1/23 Principle 4: 'The validation function's primary responsibility is to provide an objective and unbiased opinion on the adequacy and soundness of a model. Validators should not be part of any model development activities, nor have a stake in whether a model is approved.' SR 11-7: 'Validation involves a degree of independence from model development and use. Generally, validation is done by staff who are not responsible for model development.'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r>
              <w:rPr>
                <w:rFonts w:ascii="Arial" w:cs="Arial" w:eastAsia="Arial" w:hAnsi="Arial"/>
                <w:b/>
                <w:bCs/>
                <w:color w:val="166534"/>
                <w:sz w:val="21"/>
                <w:szCs w:val="21"/>
              </w:rPr>
              <w:t xml:space="preserve">What HypatiaX Has</w:t>
            </w:r>
          </w:p>
          <w:p>
            <w:pPr>
              <w:spacing w:before="60"/>
            </w:pPr>
            <w:r>
              <w:rPr>
                <w:rFonts w:ascii="Arial" w:cs="Arial" w:eastAsia="Arial" w:hAnsi="Arial"/>
                <w:color w:val="1E293B"/>
                <w:sz w:val="20"/>
                <w:szCs w:val="20"/>
              </w:rPr>
              <w:t xml:space="preserve">The paper demonstrates that you can design and execute a rigorous validation framework. The statistical testing is independent in spirit — you are stress-testing your own system against known ground truths. The failure mode taxonomy for LLMs is genuinely critical of a system you use as a component.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20"/>
              <w:left w:type="dxa" w:w="200"/>
              <w:bottom w:type="dxa" w:w="120"/>
              <w:right w:type="dxa" w:w="200"/>
            </w:tcMar>
          </w:tcPr>
          <w:p>
            <w:r>
              <w:rPr>
                <w:rFonts w:ascii="Arial" w:cs="Arial" w:eastAsia="Arial" w:hAnsi="Arial"/>
                <w:b/>
                <w:bCs/>
                <w:color w:val="991B1B"/>
                <w:sz w:val="21"/>
                <w:szCs w:val="21"/>
              </w:rPr>
              <w:t xml:space="preserve">What Is Missing — The Precise Gap</w:t>
            </w:r>
          </w:p>
          <w:p>
            <w:pPr>
              <w:spacing w:before="60"/>
            </w:pPr>
            <w:r>
              <w:rPr>
                <w:rFonts w:ascii="Arial" w:cs="Arial" w:eastAsia="Arial" w:hAnsi="Arial"/>
                <w:color w:val="1E293B"/>
                <w:sz w:val="20"/>
                <w:szCs w:val="20"/>
              </w:rPr>
              <w:t xml:space="preserve">You built HypatiaX AND validated it. In banking, this is the one thing you cannot do. The validator must be independent of the developer. A hiring manager reading your CV will see 'built and validated own system' and will need to understand that you know this distinction exists and can operate within it. This is not a gap in your knowledge — it is a gap in your demonstrated practice of independent validation.</w:t>
            </w:r>
          </w:p>
        </w:tc>
      </w:tr>
    </w:tbl>
    <w:p>
      <w:pPr>
        <w:spacing w:before="60" w:after="60"/>
      </w:pPr>
      <w:r>
        <w:t xml:space="preserve"/>
      </w:r>
    </w:p>
    <w:p>
      <w:pPr>
        <w:spacing w:before="60" w:after="60"/>
      </w:pPr>
      <w:r>
        <w:rPr>
          <w:rFonts w:ascii="Arial" w:cs="Arial" w:eastAsia="Arial" w:hAnsi="Arial"/>
          <w:b w:val="false"/>
          <w:bCs w:val="false"/>
          <w:sz w:val="21"/>
          <w:szCs w:val="21"/>
        </w:rPr>
        <w:t xml:space="preserve">WHAT TO DO: Two things. First, in any interview or CV framing, explicitly acknowledge the independence principle and articulate why your HypatiaX experience is a training ground for it, not a demonstration of it. Use this language: 'I designed the validation framework before running the experiments, pre-registered the acceptance criteria (R² &gt; 0.95, V &gt; 80), and applied it blind to all candidate expressions — this is the closest to independence you can achieve in a solo research project. In a banking context, I understand that independence requires organisational separation.' Second — and more powerfully — validate someone else's model. Find an open-source financial model on GitHub (a VaR engine, a credit scorecard, a Black-Scholes pricer) and write a formal validation report on it using SS1/23 Principle 4 structure: conceptual soundness, outcome analysis, benchmarking, operating boundaries, findings, and risk rating. This single artefact demonstrates independent validation practice more clearly than any amount of study.</w:t>
      </w:r>
    </w:p>
    <w:p>
      <w:pPr>
        <w:spacing w:before="60" w:after="60"/>
      </w:pPr>
      <w:r>
        <w:t xml:space="preserve"/>
      </w:r>
    </w:p>
    <w:p>
      <w:pPr>
        <w:spacing w:before="200" w:after="80"/>
      </w:pPr>
      <w:r>
        <w:rPr>
          <w:rFonts w:ascii="Arial" w:cs="Arial" w:eastAsia="Arial" w:hAnsi="Arial"/>
          <w:b/>
          <w:bCs/>
          <w:color w:val="2E6DA4"/>
          <w:sz w:val="23"/>
          <w:szCs w:val="23"/>
        </w:rPr>
        <w:t xml:space="preserve">Translation 5 · Model Risk Rating — The One Output HypatiaX Lacks Entirely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r>
              <w:rPr>
                <w:rFonts w:ascii="Arial" w:cs="Arial" w:eastAsia="Arial" w:hAnsi="Arial"/>
                <w:b/>
                <w:bCs/>
                <w:color w:val="1D4ED8"/>
                <w:sz w:val="21"/>
                <w:szCs w:val="21"/>
              </w:rPr>
              <w:t xml:space="preserve">What SS1/23 / SR 11-7 Actually Say</w:t>
            </w:r>
          </w:p>
          <w:p>
            <w:pPr>
              <w:spacing w:before="60"/>
            </w:pPr>
            <w:r>
              <w:rPr>
                <w:rFonts w:ascii="Arial" w:cs="Arial" w:eastAsia="Arial" w:hAnsi="Arial"/>
                <w:color w:val="1E293B"/>
                <w:sz w:val="20"/>
                <w:szCs w:val="20"/>
              </w:rPr>
              <w:t xml:space="preserve">SS1/23 Principle 1.3 requires a 'risk-based tiering approach' using materiality (quantitative and qualitative) and complexity (data quality, methodology, interpretability, explainability, bias potential). Principle 4 requires that validation produces a finding that can lead to 'conditional approval, restrictions on use, or redevelopment.' SR 11-7 states that the validator must have 'explicit authority to require changes to models when issues are identified.' The output of a validation is not a paper — it is a risk rating, a set of findings, and a disposition (approved / approved with conditions / rejected).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r>
              <w:rPr>
                <w:rFonts w:ascii="Arial" w:cs="Arial" w:eastAsia="Arial" w:hAnsi="Arial"/>
                <w:b/>
                <w:bCs/>
                <w:color w:val="166534"/>
                <w:sz w:val="21"/>
                <w:szCs w:val="21"/>
              </w:rPr>
              <w:t xml:space="preserve">What HypatiaX Has</w:t>
            </w:r>
          </w:p>
          <w:p>
            <w:pPr>
              <w:spacing w:before="60"/>
            </w:pPr>
            <w:r>
              <w:rPr>
                <w:rFonts w:ascii="Arial" w:cs="Arial" w:eastAsia="Arial" w:hAnsi="Arial"/>
                <w:color w:val="1E293B"/>
                <w:sz w:val="20"/>
                <w:szCs w:val="20"/>
              </w:rPr>
              <w:t xml:space="preserve">The paper concludes with design principles and empirical findings. The acceptance criterion (R² &gt; 0.95 AND V &gt; 80) is effectively a binary approval gate. The failure mode taxonomy is effectively a finding log. The system architecture is effectively a model documentation standard.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20"/>
              <w:left w:type="dxa" w:w="200"/>
              <w:bottom w:type="dxa" w:w="120"/>
              <w:right w:type="dxa" w:w="200"/>
            </w:tcMar>
          </w:tcPr>
          <w:p>
            <w:r>
              <w:rPr>
                <w:rFonts w:ascii="Arial" w:cs="Arial" w:eastAsia="Arial" w:hAnsi="Arial"/>
                <w:b/>
                <w:bCs/>
                <w:color w:val="991B1B"/>
                <w:sz w:val="21"/>
                <w:szCs w:val="21"/>
              </w:rPr>
              <w:t xml:space="preserve">What Is Missing — The Precise Gap</w:t>
            </w:r>
          </w:p>
          <w:p>
            <w:pPr>
              <w:spacing w:before="60"/>
            </w:pPr>
            <w:r>
              <w:rPr>
                <w:rFonts w:ascii="Arial" w:cs="Arial" w:eastAsia="Arial" w:hAnsi="Arial"/>
                <w:color w:val="1E293B"/>
                <w:sz w:val="20"/>
                <w:szCs w:val="20"/>
              </w:rPr>
              <w:t xml:space="preserve">HypatiaX produces research conclusions, not validation dispositions. There is no model risk rating (High / Medium / Low), no formal finding with severity classification (Critical / Major / Minor), no conditions of use statement, and no remediation timeline. These are the actual outputs of a validation in a banking context. A bank hiring manager needs to see that you know what these look like and can produce them.</w:t>
            </w:r>
          </w:p>
        </w:tc>
      </w:tr>
    </w:tbl>
    <w:p>
      <w:pPr>
        <w:spacing w:before="60" w:after="60"/>
      </w:pPr>
      <w:r>
        <w:t xml:space="preserve"/>
      </w:r>
    </w:p>
    <w:p>
      <w:pPr>
        <w:spacing w:before="60" w:after="60"/>
      </w:pPr>
      <w:r>
        <w:rPr>
          <w:rFonts w:ascii="Arial" w:cs="Arial" w:eastAsia="Arial" w:hAnsi="Arial"/>
          <w:b w:val="false"/>
          <w:bCs w:val="false"/>
          <w:sz w:val="21"/>
          <w:szCs w:val="21"/>
        </w:rPr>
        <w:t xml:space="preserve">WHAT TO DO: Take one of your Campaign 4 DeFi models (e.g., the Impermanent Loss model) and write a mock 'Validation Summary' in the format a bank would use. It should be one page and contain: (1) Model Name and Purpose, (2) Validation Scope and Methodology, (3) Key Findings (bullet list with severity: Critical / Major / Minor), (4) Model Risk Rating (High / Medium / Low with justification using the SS1/23 materiality + complexity framework), (5) Disposition (Approved / Approved with Conditions / Rejected), and (6) Conditions or Restrictions on Use. This is a writing exercise, not a research exercise. It will take 2–3 hours and will be the single most impactful artefact in your portfolio from a banking hiring perspective — because it shows you speak the language.</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Master Translation Table</w:t>
      </w:r>
    </w:p>
    <w:p>
      <w:pPr>
        <w:spacing w:before="60" w:after="60"/>
      </w:pPr>
      <w:r>
        <w:rPr>
          <w:rFonts w:ascii="Arial" w:cs="Arial" w:eastAsia="Arial" w:hAnsi="Arial"/>
          <w:sz w:val="21"/>
          <w:szCs w:val="21"/>
        </w:rPr>
        <w:t xml:space="preserve">Summary of all five translations: what you have, what is missing, what to do, and what it becomes once done.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800"/>
        <w:gridCol w:w="186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HypatiaX Element</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Precise Gap vs. SS1/23/SR 11-7</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To Do (Concrete)</w:t>
            </w:r>
          </w:p>
        </w:tc>
        <w:tc>
          <w:tcPr>
            <w:tcW w:type="dxa" w:w="1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Becomes</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r>
              <w:rPr>
                <w:rFonts w:ascii="Arial" w:cs="Arial" w:eastAsia="Arial" w:hAnsi="Arial"/>
                <w:b/>
                <w:bCs/>
                <w:color w:val="1D4ED8"/>
                <w:sz w:val="20"/>
                <w:szCs w:val="20"/>
              </w:rPr>
              <w:t xml:space="preserve">4-Layer Validation Cascade</w:t>
            </w:r>
          </w:p>
        </w:tc>
        <w:tc>
          <w:tcPr>
            <w:tcW w:type="dxa" w:w="2500"/>
            <w:tcBorders>
              <w:top w:val="single" w:color="CBD5E1" w:sz="1"/>
              <w:left w:val="single" w:color="CBD5E1" w:sz="1"/>
              <w:bottom w:val="single" w:color="CBD5E1" w:sz="1"/>
              <w:right w:val="single" w:color="CBD5E1" w:sz="1"/>
            </w:tcBorders>
            <w:tcMar>
              <w:top w:type="dxa" w:w="100"/>
              <w:left w:type="dxa" w:w="120"/>
              <w:bottom w:type="dxa" w:w="100"/>
              <w:right w:type="dxa" w:w="120"/>
            </w:tcMar>
          </w:tcPr>
          <w:p>
            <w:r>
              <w:rPr>
                <w:rFonts w:ascii="Arial" w:cs="Arial" w:eastAsia="Arial" w:hAnsi="Arial"/>
                <w:color w:val="991B1B"/>
                <w:sz w:val="19"/>
                <w:szCs w:val="19"/>
              </w:rPr>
              <w:t xml:space="preserve">One-time pre-deployment test. No ongoing monitoring, no revalidation triggers, no operating boundary definition.</w:t>
            </w:r>
          </w:p>
        </w:tc>
        <w:tc>
          <w:tcPr>
            <w:tcW w:type="dxa" w:w="2800"/>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r>
              <w:rPr>
                <w:rFonts w:ascii="Arial" w:cs="Arial" w:eastAsia="Arial" w:hAnsi="Arial"/>
                <w:sz w:val="19"/>
                <w:szCs w:val="19"/>
              </w:rPr>
              <w:t xml:space="preserve">Add PSI-based monitoring framework with thresholds. Define operating boundary per validated equation. 4 hours.</w:t>
            </w:r>
          </w:p>
        </w:tc>
        <w:tc>
          <w:tcPr>
            <w:tcW w:type="dxa" w:w="1860"/>
            <w:tcBorders>
              <w:top w:val="single" w:color="CBD5E1" w:sz="1"/>
              <w:left w:val="single" w:color="CBD5E1" w:sz="1"/>
              <w:bottom w:val="single" w:color="CBD5E1" w:sz="1"/>
              <w:right w:val="single" w:color="CBD5E1" w:sz="1"/>
            </w:tcBorders>
            <w:shd w:fill="DCFCE7" w:val="clear"/>
            <w:tcMar>
              <w:top w:type="dxa" w:w="100"/>
              <w:left w:type="dxa" w:w="120"/>
              <w:bottom w:type="dxa" w:w="100"/>
              <w:right w:type="dxa" w:w="120"/>
            </w:tcMar>
          </w:tcPr>
          <w:p>
            <w:r>
              <w:rPr>
                <w:rFonts w:ascii="Arial" w:cs="Arial" w:eastAsia="Arial" w:hAnsi="Arial"/>
                <w:color w:val="166534"/>
                <w:sz w:val="19"/>
                <w:szCs w:val="19"/>
              </w:rPr>
              <w:t xml:space="preserve">SS1/23 Principle 4(c): Ongoing monitoring framework.</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r>
              <w:rPr>
                <w:rFonts w:ascii="Arial" w:cs="Arial" w:eastAsia="Arial" w:hAnsi="Arial"/>
                <w:b/>
                <w:bCs/>
                <w:color w:val="1D4ED8"/>
                <w:sz w:val="20"/>
                <w:szCs w:val="20"/>
              </w:rPr>
              <w:t xml:space="preserve">Failure Mode Taxonomy (LLM)</w:t>
            </w:r>
          </w:p>
        </w:tc>
        <w:tc>
          <w:tcPr>
            <w:tcW w:type="dxa" w:w="2500"/>
            <w:tcBorders>
              <w:top w:val="single" w:color="CBD5E1" w:sz="1"/>
              <w:left w:val="single" w:color="CBD5E1" w:sz="1"/>
              <w:bottom w:val="single" w:color="CBD5E1" w:sz="1"/>
              <w:right w:val="single" w:color="CBD5E1" w:sz="1"/>
            </w:tcBorders>
            <w:tcMar>
              <w:top w:type="dxa" w:w="100"/>
              <w:left w:type="dxa" w:w="120"/>
              <w:bottom w:type="dxa" w:w="100"/>
              <w:right w:type="dxa" w:w="120"/>
            </w:tcMar>
          </w:tcPr>
          <w:p>
            <w:r>
              <w:rPr>
                <w:rFonts w:ascii="Arial" w:cs="Arial" w:eastAsia="Arial" w:hAnsi="Arial"/>
                <w:color w:val="991B1B"/>
                <w:sz w:val="19"/>
                <w:szCs w:val="19"/>
              </w:rPr>
              <w:t xml:space="preserve">Describes failure types but not written as a conceptual soundness assessment with challenger comparison and explicit disposition.</w:t>
            </w:r>
          </w:p>
        </w:tc>
        <w:tc>
          <w:tcPr>
            <w:tcW w:type="dxa" w:w="2800"/>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r>
              <w:rPr>
                <w:rFonts w:ascii="Arial" w:cs="Arial" w:eastAsia="Arial" w:hAnsi="Arial"/>
                <w:sz w:val="19"/>
                <w:szCs w:val="19"/>
              </w:rPr>
              <w:t xml:space="preserve">Rewrite as 1-page Conceptual Soundness Assessment in validation report format. Add challenger comparison (e.g., DSR vs. PySR). 3 hours.</w:t>
            </w:r>
          </w:p>
        </w:tc>
        <w:tc>
          <w:tcPr>
            <w:tcW w:type="dxa" w:w="1860"/>
            <w:tcBorders>
              <w:top w:val="single" w:color="CBD5E1" w:sz="1"/>
              <w:left w:val="single" w:color="CBD5E1" w:sz="1"/>
              <w:bottom w:val="single" w:color="CBD5E1" w:sz="1"/>
              <w:right w:val="single" w:color="CBD5E1" w:sz="1"/>
            </w:tcBorders>
            <w:shd w:fill="DCFCE7" w:val="clear"/>
            <w:tcMar>
              <w:top w:type="dxa" w:w="100"/>
              <w:left w:type="dxa" w:w="120"/>
              <w:bottom w:type="dxa" w:w="100"/>
              <w:right w:type="dxa" w:w="120"/>
            </w:tcMar>
          </w:tcPr>
          <w:p>
            <w:r>
              <w:rPr>
                <w:rFonts w:ascii="Arial" w:cs="Arial" w:eastAsia="Arial" w:hAnsi="Arial"/>
                <w:color w:val="166534"/>
                <w:sz w:val="19"/>
                <w:szCs w:val="19"/>
              </w:rPr>
              <w:t xml:space="preserve">SR 11-7: Evaluation of Conceptual Soundness (first element of validation).</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r>
              <w:rPr>
                <w:rFonts w:ascii="Arial" w:cs="Arial" w:eastAsia="Arial" w:hAnsi="Arial"/>
                <w:b/>
                <w:bCs/>
                <w:color w:val="1D4ED8"/>
                <w:sz w:val="20"/>
                <w:szCs w:val="20"/>
              </w:rPr>
              <w:t xml:space="preserve">VaR/ES Formula Recovery (Campaign 1)</w:t>
            </w:r>
          </w:p>
        </w:tc>
        <w:tc>
          <w:tcPr>
            <w:tcW w:type="dxa" w:w="2500"/>
            <w:tcBorders>
              <w:top w:val="single" w:color="CBD5E1" w:sz="1"/>
              <w:left w:val="single" w:color="CBD5E1" w:sz="1"/>
              <w:bottom w:val="single" w:color="CBD5E1" w:sz="1"/>
              <w:right w:val="single" w:color="CBD5E1" w:sz="1"/>
            </w:tcBorders>
            <w:tcMar>
              <w:top w:type="dxa" w:w="100"/>
              <w:left w:type="dxa" w:w="120"/>
              <w:bottom w:type="dxa" w:w="100"/>
              <w:right w:type="dxa" w:w="120"/>
            </w:tcMar>
          </w:tcPr>
          <w:p>
            <w:r>
              <w:rPr>
                <w:rFonts w:ascii="Arial" w:cs="Arial" w:eastAsia="Arial" w:hAnsi="Arial"/>
                <w:color w:val="991B1B"/>
                <w:sz w:val="19"/>
                <w:szCs w:val="19"/>
              </w:rPr>
              <w:t xml:space="preserve">Tests formula recovery against mathematical ground truth. Does not test decision validity against real financial outcomes.</w:t>
            </w:r>
          </w:p>
        </w:tc>
        <w:tc>
          <w:tcPr>
            <w:tcW w:type="dxa" w:w="2800"/>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r>
              <w:rPr>
                <w:rFonts w:ascii="Arial" w:cs="Arial" w:eastAsia="Arial" w:hAnsi="Arial"/>
                <w:sz w:val="19"/>
                <w:szCs w:val="19"/>
              </w:rPr>
              <w:t xml:space="preserve">Backtest VaR on S&amp;P 500 daily returns. Count exceptions vs. expected frequency. Traffic light result. 4 hours in Python.</w:t>
            </w:r>
          </w:p>
        </w:tc>
        <w:tc>
          <w:tcPr>
            <w:tcW w:type="dxa" w:w="1860"/>
            <w:tcBorders>
              <w:top w:val="single" w:color="CBD5E1" w:sz="1"/>
              <w:left w:val="single" w:color="CBD5E1" w:sz="1"/>
              <w:bottom w:val="single" w:color="CBD5E1" w:sz="1"/>
              <w:right w:val="single" w:color="CBD5E1" w:sz="1"/>
            </w:tcBorders>
            <w:shd w:fill="DCFCE7" w:val="clear"/>
            <w:tcMar>
              <w:top w:type="dxa" w:w="100"/>
              <w:left w:type="dxa" w:w="120"/>
              <w:bottom w:type="dxa" w:w="100"/>
              <w:right w:type="dxa" w:w="120"/>
            </w:tcMar>
          </w:tcPr>
          <w:p>
            <w:r>
              <w:rPr>
                <w:rFonts w:ascii="Arial" w:cs="Arial" w:eastAsia="Arial" w:hAnsi="Arial"/>
                <w:color w:val="166534"/>
                <w:sz w:val="19"/>
                <w:szCs w:val="19"/>
              </w:rPr>
              <w:t xml:space="preserve">SR 11-7: Outcomes Analysis / Backtesting (third element of validation).</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r>
              <w:rPr>
                <w:rFonts w:ascii="Arial" w:cs="Arial" w:eastAsia="Arial" w:hAnsi="Arial"/>
                <w:b/>
                <w:bCs/>
                <w:color w:val="1D4ED8"/>
                <w:sz w:val="20"/>
                <w:szCs w:val="20"/>
              </w:rPr>
              <w:t xml:space="preserve">Self-validation of own system</w:t>
            </w:r>
          </w:p>
        </w:tc>
        <w:tc>
          <w:tcPr>
            <w:tcW w:type="dxa" w:w="2500"/>
            <w:tcBorders>
              <w:top w:val="single" w:color="CBD5E1" w:sz="1"/>
              <w:left w:val="single" w:color="CBD5E1" w:sz="1"/>
              <w:bottom w:val="single" w:color="CBD5E1" w:sz="1"/>
              <w:right w:val="single" w:color="CBD5E1" w:sz="1"/>
            </w:tcBorders>
            <w:tcMar>
              <w:top w:type="dxa" w:w="100"/>
              <w:left w:type="dxa" w:w="120"/>
              <w:bottom w:type="dxa" w:w="100"/>
              <w:right w:type="dxa" w:w="120"/>
            </w:tcMar>
          </w:tcPr>
          <w:p>
            <w:r>
              <w:rPr>
                <w:rFonts w:ascii="Arial" w:cs="Arial" w:eastAsia="Arial" w:hAnsi="Arial"/>
                <w:color w:val="991B1B"/>
                <w:sz w:val="19"/>
                <w:szCs w:val="19"/>
              </w:rPr>
              <w:t xml:space="preserve">You built it AND validated it. Regulators require independence. This is the one gap that cannot be fixed by improving HypatiaX itself.</w:t>
            </w:r>
          </w:p>
        </w:tc>
        <w:tc>
          <w:tcPr>
            <w:tcW w:type="dxa" w:w="2800"/>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r>
              <w:rPr>
                <w:rFonts w:ascii="Arial" w:cs="Arial" w:eastAsia="Arial" w:hAnsi="Arial"/>
                <w:sz w:val="19"/>
                <w:szCs w:val="19"/>
              </w:rPr>
              <w:t xml:space="preserve">Validate an external model (open-source VaR engine or credit scorecard on GitHub). Write formal SS1/23-structured validation report. 8 hours.</w:t>
            </w:r>
          </w:p>
        </w:tc>
        <w:tc>
          <w:tcPr>
            <w:tcW w:type="dxa" w:w="1860"/>
            <w:tcBorders>
              <w:top w:val="single" w:color="CBD5E1" w:sz="1"/>
              <w:left w:val="single" w:color="CBD5E1" w:sz="1"/>
              <w:bottom w:val="single" w:color="CBD5E1" w:sz="1"/>
              <w:right w:val="single" w:color="CBD5E1" w:sz="1"/>
            </w:tcBorders>
            <w:shd w:fill="DCFCE7" w:val="clear"/>
            <w:tcMar>
              <w:top w:type="dxa" w:w="100"/>
              <w:left w:type="dxa" w:w="120"/>
              <w:bottom w:type="dxa" w:w="100"/>
              <w:right w:type="dxa" w:w="120"/>
            </w:tcMar>
          </w:tcPr>
          <w:p>
            <w:r>
              <w:rPr>
                <w:rFonts w:ascii="Arial" w:cs="Arial" w:eastAsia="Arial" w:hAnsi="Arial"/>
                <w:color w:val="166534"/>
                <w:sz w:val="19"/>
                <w:szCs w:val="19"/>
              </w:rPr>
              <w:t xml:space="preserve">SS1/23 Principle 4: Independent validation with no stake in approval outcome.</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r>
              <w:rPr>
                <w:rFonts w:ascii="Arial" w:cs="Arial" w:eastAsia="Arial" w:hAnsi="Arial"/>
                <w:b/>
                <w:bCs/>
                <w:color w:val="1D4ED8"/>
                <w:sz w:val="20"/>
                <w:szCs w:val="20"/>
              </w:rPr>
              <w:t xml:space="preserve">Acceptance Criterion (R²&gt;0.95, V&gt;80)</w:t>
            </w:r>
          </w:p>
        </w:tc>
        <w:tc>
          <w:tcPr>
            <w:tcW w:type="dxa" w:w="2500"/>
            <w:tcBorders>
              <w:top w:val="single" w:color="CBD5E1" w:sz="1"/>
              <w:left w:val="single" w:color="CBD5E1" w:sz="1"/>
              <w:bottom w:val="single" w:color="CBD5E1" w:sz="1"/>
              <w:right w:val="single" w:color="CBD5E1" w:sz="1"/>
            </w:tcBorders>
            <w:tcMar>
              <w:top w:type="dxa" w:w="100"/>
              <w:left w:type="dxa" w:w="120"/>
              <w:bottom w:type="dxa" w:w="100"/>
              <w:right w:type="dxa" w:w="120"/>
            </w:tcMar>
          </w:tcPr>
          <w:p>
            <w:r>
              <w:rPr>
                <w:rFonts w:ascii="Arial" w:cs="Arial" w:eastAsia="Arial" w:hAnsi="Arial"/>
                <w:color w:val="991B1B"/>
                <w:sz w:val="19"/>
                <w:szCs w:val="19"/>
              </w:rPr>
              <w:t xml:space="preserve">Binary approval gate only. No model risk rating, no finding severity, no conditions of use, no remediation timeline.</w:t>
            </w:r>
          </w:p>
        </w:tc>
        <w:tc>
          <w:tcPr>
            <w:tcW w:type="dxa" w:w="2800"/>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r>
              <w:rPr>
                <w:rFonts w:ascii="Arial" w:cs="Arial" w:eastAsia="Arial" w:hAnsi="Arial"/>
                <w:sz w:val="19"/>
                <w:szCs w:val="19"/>
              </w:rPr>
              <w:t xml:space="preserve">Write 1-page mock Validation Summary for Impermanent Loss model with risk rating, finding severity, and disposition. 2 hours.</w:t>
            </w:r>
          </w:p>
        </w:tc>
        <w:tc>
          <w:tcPr>
            <w:tcW w:type="dxa" w:w="1860"/>
            <w:tcBorders>
              <w:top w:val="single" w:color="CBD5E1" w:sz="1"/>
              <w:left w:val="single" w:color="CBD5E1" w:sz="1"/>
              <w:bottom w:val="single" w:color="CBD5E1" w:sz="1"/>
              <w:right w:val="single" w:color="CBD5E1" w:sz="1"/>
            </w:tcBorders>
            <w:shd w:fill="DCFCE7" w:val="clear"/>
            <w:tcMar>
              <w:top w:type="dxa" w:w="100"/>
              <w:left w:type="dxa" w:w="120"/>
              <w:bottom w:type="dxa" w:w="100"/>
              <w:right w:type="dxa" w:w="120"/>
            </w:tcMar>
          </w:tcPr>
          <w:p>
            <w:r>
              <w:rPr>
                <w:rFonts w:ascii="Arial" w:cs="Arial" w:eastAsia="Arial" w:hAnsi="Arial"/>
                <w:color w:val="166534"/>
                <w:sz w:val="19"/>
                <w:szCs w:val="19"/>
              </w:rPr>
              <w:t xml:space="preserve">SS1/23 P1.3 + P4: Model risk tiering and validation output in regulatory-compliant format.</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The Exact Five Artefacts to Produce</w:t>
      </w:r>
    </w:p>
    <w:p>
      <w:pPr>
        <w:spacing w:before="60" w:after="60"/>
      </w:pPr>
      <w:r>
        <w:rPr>
          <w:rFonts w:ascii="Arial" w:cs="Arial" w:eastAsia="Arial" w:hAnsi="Arial"/>
          <w:sz w:val="21"/>
          <w:szCs w:val="21"/>
        </w:rPr>
        <w:t xml:space="preserve">Complete these five things and you have a portfolio that demonstrates sufficient model validation practice under SS1/23 and SR 11-7. Total estimated time: 21–25 hours. These are not courses or study — they are outputs.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560"/>
        <w:gridCol w:w="1200"/>
        <w:gridCol w:w="1400"/>
      </w:tblGrid>
      <w:tr>
        <w:tc>
          <w:tcPr>
            <w:tcW w:type="dxa" w:w="4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8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Artefact</w:t>
            </w:r>
          </w:p>
        </w:tc>
        <w:tc>
          <w:tcPr>
            <w:tcW w:type="dxa" w:w="356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What It Demonstrates</w:t>
            </w:r>
          </w:p>
        </w:tc>
        <w:tc>
          <w:tcPr>
            <w:tcW w:type="dxa" w:w="12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Time</w:t>
            </w:r>
          </w:p>
        </w:tc>
        <w:tc>
          <w:tcPr>
            <w:tcW w:type="dxa" w:w="14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W w:type="dxa" w:w="40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b/>
                <w:bCs/>
                <w:color w:val="1F3864"/>
                <w:sz w:val="20"/>
                <w:szCs w:val="20"/>
              </w:rPr>
              <w:t xml:space="preserve">1</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19"/>
                <w:szCs w:val="19"/>
              </w:rPr>
              <w:t xml:space="preserve">Conceptual Soundness Assessment
(1 page, validation report format)</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SR 11-7 Element 1. Regulatory vocabulary. Challenger model comparison. Explicit disposition language.</w:t>
            </w:r>
          </w:p>
        </w:tc>
        <w:tc>
          <w:tcPr>
            <w:tcW w:type="dxa" w:w="120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color w:val="555555"/>
                <w:sz w:val="19"/>
                <w:szCs w:val="19"/>
              </w:rPr>
              <w:t xml:space="preserve">~3 hrs</w:t>
            </w:r>
          </w:p>
        </w:tc>
        <w:tc>
          <w:tcPr>
            <w:tcW w:type="dxa" w:w="14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991B1B"/>
                <w:sz w:val="18"/>
                <w:szCs w:val="18"/>
              </w:rPr>
              <w:t xml:space="preserve">DO FIRST</w:t>
            </w:r>
          </w:p>
        </w:tc>
      </w:tr>
      <w:tr>
        <w:tc>
          <w:tcPr>
            <w:tcW w:type="dxa" w:w="40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b/>
                <w:bCs/>
                <w:color w:val="1F3864"/>
                <w:sz w:val="20"/>
                <w:szCs w:val="20"/>
              </w:rPr>
              <w:t xml:space="preserve">2</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19"/>
                <w:szCs w:val="19"/>
              </w:rPr>
              <w:t xml:space="preserve">Mock Validation Summary
(Impermanent Loss model, 1 page)</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SS1/23 P1.3 + P4. Model risk rating. Finding severity. Conditions of use. Regulatory output format.</w:t>
            </w:r>
          </w:p>
        </w:tc>
        <w:tc>
          <w:tcPr>
            <w:tcW w:type="dxa" w:w="120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color w:val="555555"/>
                <w:sz w:val="19"/>
                <w:szCs w:val="19"/>
              </w:rPr>
              <w:t xml:space="preserve">~2 hrs</w:t>
            </w:r>
          </w:p>
        </w:tc>
        <w:tc>
          <w:tcPr>
            <w:tcW w:type="dxa" w:w="14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991B1B"/>
                <w:sz w:val="18"/>
                <w:szCs w:val="18"/>
              </w:rPr>
              <w:t xml:space="preserve">DO FIRST</w:t>
            </w:r>
          </w:p>
        </w:tc>
      </w:tr>
      <w:tr>
        <w:tc>
          <w:tcPr>
            <w:tcW w:type="dxa" w:w="40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b/>
                <w:bCs/>
                <w:color w:val="1F3864"/>
                <w:sz w:val="20"/>
                <w:szCs w:val="20"/>
              </w:rPr>
              <w:t xml:space="preserve">3</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19"/>
                <w:szCs w:val="19"/>
              </w:rPr>
              <w:t xml:space="preserve">VaR Backtesting Script + Results
(Python, S&amp;P 500 data, Basel traffic light)</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SR 11-7 Element 3. Financial outcomes analysis. Banking domain anchoring. Quantitative skill proof.</w:t>
            </w:r>
          </w:p>
        </w:tc>
        <w:tc>
          <w:tcPr>
            <w:tcW w:type="dxa" w:w="120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color w:val="555555"/>
                <w:sz w:val="19"/>
                <w:szCs w:val="19"/>
              </w:rPr>
              <w:t xml:space="preserve">~4 hrs</w:t>
            </w:r>
          </w:p>
        </w:tc>
        <w:tc>
          <w:tcPr>
            <w:tcW w:type="dxa" w:w="1400"/>
            <w:tcBorders>
              <w:top w:val="single" w:color="CBD5E1" w:sz="1"/>
              <w:left w:val="single" w:color="CBD5E1" w:sz="1"/>
              <w:bottom w:val="single" w:color="CBD5E1" w:sz="1"/>
              <w:right w:val="single" w:color="CBD5E1" w:sz="1"/>
            </w:tcBorders>
            <w:shd w:fill="FEF9C3" w:val="clear"/>
            <w:tcMar>
              <w:top w:type="dxa" w:w="80"/>
              <w:left w:type="dxa" w:w="100"/>
              <w:bottom w:type="dxa" w:w="80"/>
              <w:right w:type="dxa" w:w="100"/>
            </w:tcMar>
          </w:tcPr>
          <w:p>
            <w:pPr>
              <w:jc w:val="center"/>
            </w:pPr>
            <w:r>
              <w:rPr>
                <w:rFonts w:ascii="Arial" w:cs="Arial" w:eastAsia="Arial" w:hAnsi="Arial"/>
                <w:b/>
                <w:bCs/>
                <w:color w:val="92400E"/>
                <w:sz w:val="18"/>
                <w:szCs w:val="18"/>
              </w:rPr>
              <w:t xml:space="preserve">WEEK 1</w:t>
            </w:r>
          </w:p>
        </w:tc>
      </w:tr>
      <w:tr>
        <w:tc>
          <w:tcPr>
            <w:tcW w:type="dxa" w:w="40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b/>
                <w:bCs/>
                <w:color w:val="1F3864"/>
                <w:sz w:val="20"/>
                <w:szCs w:val="20"/>
              </w:rPr>
              <w:t xml:space="preserve">4</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19"/>
                <w:szCs w:val="19"/>
              </w:rPr>
              <w:t xml:space="preserve">Monitoring Framework Appendix
(PSI thresholds, operating boundaries, revalidation triggers)</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SS1/23 P4(c). Lifecycle thinking. Ongoing validation, not just pre-deployment.</w:t>
            </w:r>
          </w:p>
        </w:tc>
        <w:tc>
          <w:tcPr>
            <w:tcW w:type="dxa" w:w="120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color w:val="555555"/>
                <w:sz w:val="19"/>
                <w:szCs w:val="19"/>
              </w:rPr>
              <w:t xml:space="preserve">~4 hrs</w:t>
            </w:r>
          </w:p>
        </w:tc>
        <w:tc>
          <w:tcPr>
            <w:tcW w:type="dxa" w:w="1400"/>
            <w:tcBorders>
              <w:top w:val="single" w:color="CBD5E1" w:sz="1"/>
              <w:left w:val="single" w:color="CBD5E1" w:sz="1"/>
              <w:bottom w:val="single" w:color="CBD5E1" w:sz="1"/>
              <w:right w:val="single" w:color="CBD5E1" w:sz="1"/>
            </w:tcBorders>
            <w:shd w:fill="FEF9C3" w:val="clear"/>
            <w:tcMar>
              <w:top w:type="dxa" w:w="80"/>
              <w:left w:type="dxa" w:w="100"/>
              <w:bottom w:type="dxa" w:w="80"/>
              <w:right w:type="dxa" w:w="100"/>
            </w:tcMar>
          </w:tcPr>
          <w:p>
            <w:pPr>
              <w:jc w:val="center"/>
            </w:pPr>
            <w:r>
              <w:rPr>
                <w:rFonts w:ascii="Arial" w:cs="Arial" w:eastAsia="Arial" w:hAnsi="Arial"/>
                <w:b/>
                <w:bCs/>
                <w:color w:val="92400E"/>
                <w:sz w:val="18"/>
                <w:szCs w:val="18"/>
              </w:rPr>
              <w:t xml:space="preserve">WEEK 2</w:t>
            </w:r>
          </w:p>
        </w:tc>
      </w:tr>
      <w:tr>
        <w:tc>
          <w:tcPr>
            <w:tcW w:type="dxa" w:w="40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b/>
                <w:bCs/>
                <w:color w:val="1F3864"/>
                <w:sz w:val="20"/>
                <w:szCs w:val="20"/>
              </w:rPr>
              <w:t xml:space="preserve">5</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19"/>
                <w:szCs w:val="19"/>
              </w:rPr>
              <w:t xml:space="preserve">Independent Validation Report
(External open-source model, full SS1/23 structure)</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SS1/23 Principle 4 independence requirement. Shows you can validate someone else's model objectively.</w:t>
            </w:r>
          </w:p>
        </w:tc>
        <w:tc>
          <w:tcPr>
            <w:tcW w:type="dxa" w:w="120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color w:val="555555"/>
                <w:sz w:val="19"/>
                <w:szCs w:val="19"/>
              </w:rPr>
              <w:t xml:space="preserve">~8 hrs</w:t>
            </w:r>
          </w:p>
        </w:tc>
        <w:tc>
          <w:tcPr>
            <w:tcW w:type="dxa" w:w="1400"/>
            <w:tcBorders>
              <w:top w:val="single" w:color="CBD5E1" w:sz="1"/>
              <w:left w:val="single" w:color="CBD5E1" w:sz="1"/>
              <w:bottom w:val="single" w:color="CBD5E1" w:sz="1"/>
              <w:right w:val="single" w:color="CBD5E1" w:sz="1"/>
            </w:tcBorders>
            <w:shd w:fill="FEF9C3" w:val="clear"/>
            <w:tcMar>
              <w:top w:type="dxa" w:w="80"/>
              <w:left w:type="dxa" w:w="100"/>
              <w:bottom w:type="dxa" w:w="80"/>
              <w:right w:type="dxa" w:w="100"/>
            </w:tcMar>
          </w:tcPr>
          <w:p>
            <w:pPr>
              <w:jc w:val="center"/>
            </w:pPr>
            <w:r>
              <w:rPr>
                <w:rFonts w:ascii="Arial" w:cs="Arial" w:eastAsia="Arial" w:hAnsi="Arial"/>
                <w:b/>
                <w:bCs/>
                <w:color w:val="92400E"/>
                <w:sz w:val="18"/>
                <w:szCs w:val="18"/>
              </w:rPr>
              <w:t xml:space="preserve">WEEK 2–3</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How to Frame This in Interviews</w:t>
      </w:r>
    </w:p>
    <w:p>
      <w:pPr>
        <w:spacing w:before="60" w:after="60"/>
      </w:pPr>
      <w:r>
        <w:rPr>
          <w:rFonts w:ascii="Arial" w:cs="Arial" w:eastAsia="Arial" w:hAnsi="Arial"/>
          <w:sz w:val="21"/>
          <w:szCs w:val="21"/>
        </w:rPr>
        <w:t xml:space="preserve">Once these five artefacts exist, here is the precise language to use when an MRM interviewer asks 'tell me about your model validation experience':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r>
              <w:rPr>
                <w:rFonts w:ascii="Arial" w:cs="Arial" w:eastAsia="Arial" w:hAnsi="Arial"/>
                <w:b/>
                <w:bCs/>
                <w:color w:val="166534"/>
                <w:sz w:val="21"/>
                <w:szCs w:val="21"/>
              </w:rPr>
              <w:t xml:space="preserve">The Answer (After Completing the Five Artefacts)</w:t>
            </w:r>
          </w:p>
          <w:p>
            <w:pPr>
              <w:spacing w:before="60"/>
            </w:pPr>
            <w:r>
              <w:rPr>
                <w:rFonts w:ascii="Arial" w:cs="Arial" w:eastAsia="Arial" w:hAnsi="Arial"/>
                <w:color w:val="1E293B"/>
                <w:sz w:val="20"/>
                <w:szCs w:val="20"/>
              </w:rPr>
              <w:t xml:space="preserve">"I designed and implemented a multi-stage validation cascade for AI-driven analytical models — covering conceptual soundness, domain constraint checking, numerical stability, and out-of-distribution stress testing at 2× the training boundary. I pre-registered acceptance criteria before running experiments and applied the framework blind to all candidate models across 131 test cases. I subsequently translated this into banking validation practice: I produced a formal Conceptual Soundness Assessment in SS1/23 format, backtested a parametric VaR model on real equity return data using the Basel traffic light framework, and wrote an independent validation report on an external credit model using the SR 11-7 three-element structure. I understand that in a banking context, independence requires organisational separation from development, and I am specifically seeking a validation role because that separation is where I want to operate."</w:t>
            </w:r>
          </w:p>
        </w:tc>
      </w:tr>
    </w:tbl>
    <w:p>
      <w:pPr>
        <w:spacing w:before="60" w:after="60"/>
      </w:pPr>
      <w:r>
        <w:t xml:space="preserve"/>
      </w:r>
    </w:p>
    <w:p>
      <w:pPr>
        <w:spacing w:before="60" w:after="60"/>
      </w:pPr>
      <w:r>
        <w:rPr>
          <w:rFonts w:ascii="Arial" w:cs="Arial" w:eastAsia="Arial" w:hAnsi="Arial"/>
          <w:i/>
          <w:iCs/>
          <w:color w:val="555555"/>
          <w:sz w:val="21"/>
          <w:szCs w:val="21"/>
        </w:rPr>
        <w:t xml:space="preserve">This answer is specific, evidenced, and demonstrates regulatory literacy. It will differentiate you from the 95% of candidates who describe validation in vague terms.</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The One Sentence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r>
              <w:rPr>
                <w:rFonts w:ascii="Arial" w:cs="Arial" w:eastAsia="Arial" w:hAnsi="Arial"/>
                <w:b/>
                <w:bCs/>
                <w:color w:val="1D4ED8"/>
                <w:sz w:val="21"/>
                <w:szCs w:val="21"/>
              </w:rPr>
              <w:t xml:space="preserve">What 'Sufficient' Means</w:t>
            </w:r>
          </w:p>
          <w:p>
            <w:pPr>
              <w:spacing w:before="60"/>
            </w:pPr>
            <w:r>
              <w:rPr>
                <w:rFonts w:ascii="Arial" w:cs="Arial" w:eastAsia="Arial" w:hAnsi="Arial"/>
                <w:color w:val="1E293B"/>
                <w:sz w:val="20"/>
                <w:szCs w:val="20"/>
              </w:rPr>
              <w:t xml:space="preserve">HypatiaX is currently sufficient as research. It becomes sufficient as model validation evidence when you add: one document in regulatory output format (artefact 2), one financial backtesting exercise (artefact 3), and one independent validation of an external model (artefact 5). Artefacts 1 and 4 strengthen the picture but artefacts 2, 3, and 5 are the minimum viable set.</w:t>
            </w:r>
          </w:p>
        </w:tc>
      </w:tr>
    </w:tbl>
    <w:p>
      <w:pPr>
        <w:spacing w:before="60" w:after="60"/>
      </w:pPr>
      <w:r>
        <w:t xml:space="preserve"/>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2026-02-22T12:14:10.656Z</dcterms:created>
  <dcterms:modified xsi:type="dcterms:W3CDTF">2026-02-22T12:14:10.657Z</dcterms:modified>
</cp:coreProperties>
</file>

<file path=docProps/custom.xml><?xml version="1.0" encoding="utf-8"?>
<Properties xmlns="http://schemas.openxmlformats.org/officeDocument/2006/custom-properties" xmlns:vt="http://schemas.openxmlformats.org/officeDocument/2006/docPropsVTypes"/>
</file>