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F3864"/>
          <w:sz w:val="52"/>
          <w:szCs w:val="52"/>
        </w:rPr>
        <w:t xml:space="preserve">JUNIOR MODEL VALIDATOR</w:t>
      </w:r>
    </w:p>
    <w:p>
      <w:pPr>
        <w:spacing w:before="0" w:after="200"/>
      </w:pPr>
      <w:r>
        <w:rPr>
          <w:rFonts w:ascii="Arial" w:cs="Arial" w:eastAsia="Arial" w:hAnsi="Arial"/>
          <w:color w:val="666666"/>
          <w:sz w:val="24"/>
          <w:szCs w:val="24"/>
        </w:rPr>
        <w:t xml:space="preserve">Model Risk Management  |  Financial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3864"/>
                <w:sz w:val="18"/>
                <w:szCs w:val="18"/>
              </w:rPr>
              <w:t xml:space="preserve">Department</w:t>
            </w:r>
          </w:p>
          <w:p>
            <w:r>
              <w:rPr>
                <w:rFonts w:ascii="Arial" w:cs="Arial" w:eastAsia="Arial" w:hAnsi="Arial"/>
                <w:sz w:val="20"/>
                <w:szCs w:val="20"/>
              </w:rPr>
              <w:t xml:space="preserve">Model Risk Management</w:t>
            </w:r>
          </w:p>
        </w:tc>
        <w:tc>
          <w:tcPr>
            <w:tcW w:type="dxa" w:w="1872"/>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3864"/>
                <w:sz w:val="18"/>
                <w:szCs w:val="18"/>
              </w:rPr>
              <w:t xml:space="preserve">Level</w:t>
            </w:r>
          </w:p>
          <w:p>
            <w:r>
              <w:rPr>
                <w:rFonts w:ascii="Arial" w:cs="Arial" w:eastAsia="Arial" w:hAnsi="Arial"/>
                <w:sz w:val="20"/>
                <w:szCs w:val="20"/>
              </w:rPr>
              <w:t xml:space="preserve">Analyst / AVP</w:t>
            </w:r>
          </w:p>
        </w:tc>
        <w:tc>
          <w:tcPr>
            <w:tcW w:type="dxa" w:w="1872"/>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3864"/>
                <w:sz w:val="18"/>
                <w:szCs w:val="18"/>
              </w:rPr>
              <w:t xml:space="preserve">Location</w:t>
            </w:r>
          </w:p>
          <w:p>
            <w:r>
              <w:rPr>
                <w:rFonts w:ascii="Arial" w:cs="Arial" w:eastAsia="Arial" w:hAnsi="Arial"/>
                <w:sz w:val="20"/>
                <w:szCs w:val="20"/>
              </w:rPr>
              <w:t xml:space="preserve">London / Hybrid</w:t>
            </w:r>
          </w:p>
        </w:tc>
        <w:tc>
          <w:tcPr>
            <w:tcW w:type="dxa" w:w="1872"/>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3864"/>
                <w:sz w:val="18"/>
                <w:szCs w:val="18"/>
              </w:rPr>
              <w:t xml:space="preserve">Reporting To</w:t>
            </w:r>
          </w:p>
          <w:p>
            <w:r>
              <w:rPr>
                <w:rFonts w:ascii="Arial" w:cs="Arial" w:eastAsia="Arial" w:hAnsi="Arial"/>
                <w:sz w:val="20"/>
                <w:szCs w:val="20"/>
              </w:rPr>
              <w:t xml:space="preserve">Senior Model Validator</w:t>
            </w:r>
          </w:p>
        </w:tc>
        <w:tc>
          <w:tcPr>
            <w:tcW w:type="dxa" w:w="1872"/>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3864"/>
                <w:sz w:val="18"/>
                <w:szCs w:val="18"/>
              </w:rPr>
              <w:t xml:space="preserve">Employment</w:t>
            </w:r>
          </w:p>
          <w:p>
            <w:r>
              <w:rPr>
                <w:rFonts w:ascii="Arial" w:cs="Arial" w:eastAsia="Arial" w:hAnsi="Arial"/>
                <w:sz w:val="20"/>
                <w:szCs w:val="20"/>
              </w:rPr>
              <w:t xml:space="preserve">Full-Time, Permanent</w:t>
            </w:r>
          </w:p>
        </w:tc>
      </w:tr>
    </w:tbl>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About the Role</w:t>
      </w:r>
    </w:p>
    <w:p>
      <w:pPr>
        <w:spacing w:before="60" w:after="60"/>
      </w:pPr>
      <w:r>
        <w:rPr>
          <w:rFonts w:ascii="Arial" w:cs="Arial" w:eastAsia="Arial" w:hAnsi="Arial"/>
          <w:sz w:val="21"/>
          <w:szCs w:val="21"/>
        </w:rPr>
        <w:t xml:space="preserve">We are looking for a motivated and analytically strong Junior Model Validator to join our growing Model Risk Management (MRM) team. This is an excellent entry point into model risk for candidates with a strong quantitative background, offering structured mentoring, broad exposure to financial models, and a clear progression pathway.</w:t>
      </w:r>
    </w:p>
    <w:p>
      <w:pPr>
        <w:spacing w:before="60" w:after="60"/>
      </w:pPr>
      <w:r>
        <w:t xml:space="preserve"/>
      </w:r>
    </w:p>
    <w:p>
      <w:pPr>
        <w:spacing w:before="60" w:after="60"/>
      </w:pPr>
      <w:r>
        <w:rPr>
          <w:rFonts w:ascii="Arial" w:cs="Arial" w:eastAsia="Arial" w:hAnsi="Arial"/>
          <w:sz w:val="21"/>
          <w:szCs w:val="21"/>
        </w:rPr>
        <w:t xml:space="preserve">You will support senior validators across the full validation lifecycle — from data analysis and testing through to report writing — developing deep technical knowledge across all major model types used within the bank.</w:t>
      </w:r>
    </w:p>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Key Responsibilities</w:t>
      </w:r>
    </w:p>
    <w:p>
      <w:pPr>
        <w:spacing w:before="200" w:after="80"/>
      </w:pPr>
      <w:r>
        <w:rPr>
          <w:rFonts w:ascii="Arial" w:cs="Arial" w:eastAsia="Arial" w:hAnsi="Arial"/>
          <w:b/>
          <w:bCs/>
          <w:color w:val="2E6DA4"/>
          <w:sz w:val="23"/>
          <w:szCs w:val="23"/>
        </w:rPr>
        <w:t xml:space="preserve">Validation Support &amp; Testing</w:t>
      </w:r>
    </w:p>
    <w:p>
      <w:pPr>
        <w:pStyle w:val="ListParagraph"/>
        <w:numPr>
          <w:ilvl w:val="0"/>
          <w:numId w:val="2"/>
        </w:numPr>
        <w:spacing w:before="36" w:after="36"/>
      </w:pPr>
      <w:r>
        <w:rPr>
          <w:rFonts w:ascii="Arial" w:cs="Arial" w:eastAsia="Arial" w:hAnsi="Arial"/>
          <w:sz w:val="21"/>
          <w:szCs w:val="21"/>
        </w:rPr>
        <w:t xml:space="preserve">Assist in the independent validation of risk models including credit risk, market risk, pricing, and operational risk models under the supervision of senior team members.</w:t>
      </w:r>
    </w:p>
    <w:p>
      <w:pPr>
        <w:pStyle w:val="ListParagraph"/>
        <w:numPr>
          <w:ilvl w:val="0"/>
          <w:numId w:val="2"/>
        </w:numPr>
        <w:spacing w:before="36" w:after="36"/>
      </w:pPr>
      <w:r>
        <w:rPr>
          <w:rFonts w:ascii="Arial" w:cs="Arial" w:eastAsia="Arial" w:hAnsi="Arial"/>
          <w:sz w:val="21"/>
          <w:szCs w:val="21"/>
        </w:rPr>
        <w:t xml:space="preserve">Perform quantitative testing including backtesting, benchmarking, sensitivity analysis, and statistical performance tests.</w:t>
      </w:r>
    </w:p>
    <w:p>
      <w:pPr>
        <w:pStyle w:val="ListParagraph"/>
        <w:numPr>
          <w:ilvl w:val="0"/>
          <w:numId w:val="2"/>
        </w:numPr>
        <w:spacing w:before="36" w:after="36"/>
      </w:pPr>
      <w:r>
        <w:rPr>
          <w:rFonts w:ascii="Arial" w:cs="Arial" w:eastAsia="Arial" w:hAnsi="Arial"/>
          <w:sz w:val="21"/>
          <w:szCs w:val="21"/>
        </w:rPr>
        <w:t xml:space="preserve">Prepare and clean datasets for use in model testing; conduct exploratory data analysis and document data quality findings.</w:t>
      </w:r>
    </w:p>
    <w:p>
      <w:pPr>
        <w:pStyle w:val="ListParagraph"/>
        <w:numPr>
          <w:ilvl w:val="0"/>
          <w:numId w:val="2"/>
        </w:numPr>
        <w:spacing w:before="36" w:after="36"/>
      </w:pPr>
      <w:r>
        <w:rPr>
          <w:rFonts w:ascii="Arial" w:cs="Arial" w:eastAsia="Arial" w:hAnsi="Arial"/>
          <w:sz w:val="21"/>
          <w:szCs w:val="21"/>
        </w:rPr>
        <w:t xml:space="preserve">Implement benchmark models and challenger analyses in Python or R to assess model adequacy.</w:t>
      </w:r>
    </w:p>
    <w:p>
      <w:pPr>
        <w:pStyle w:val="ListParagraph"/>
        <w:numPr>
          <w:ilvl w:val="0"/>
          <w:numId w:val="2"/>
        </w:numPr>
        <w:spacing w:before="36" w:after="36"/>
      </w:pPr>
      <w:r>
        <w:rPr>
          <w:rFonts w:ascii="Arial" w:cs="Arial" w:eastAsia="Arial" w:hAnsi="Arial"/>
          <w:sz w:val="21"/>
          <w:szCs w:val="21"/>
        </w:rPr>
        <w:t xml:space="preserve">Draft sections of validation reports covering methodology, testing results, and preliminary findings.</w:t>
      </w:r>
    </w:p>
    <w:p>
      <w:pPr>
        <w:spacing w:before="60" w:after="60"/>
      </w:pPr>
      <w:r>
        <w:t xml:space="preserve"/>
      </w:r>
    </w:p>
    <w:p>
      <w:pPr>
        <w:spacing w:before="200" w:after="80"/>
      </w:pPr>
      <w:r>
        <w:rPr>
          <w:rFonts w:ascii="Arial" w:cs="Arial" w:eastAsia="Arial" w:hAnsi="Arial"/>
          <w:b/>
          <w:bCs/>
          <w:color w:val="2E6DA4"/>
          <w:sz w:val="23"/>
          <w:szCs w:val="23"/>
        </w:rPr>
        <w:t xml:space="preserve">Documentation &amp; Governance</w:t>
      </w:r>
    </w:p>
    <w:p>
      <w:pPr>
        <w:pStyle w:val="ListParagraph"/>
        <w:numPr>
          <w:ilvl w:val="0"/>
          <w:numId w:val="2"/>
        </w:numPr>
        <w:spacing w:before="36" w:after="36"/>
      </w:pPr>
      <w:r>
        <w:rPr>
          <w:rFonts w:ascii="Arial" w:cs="Arial" w:eastAsia="Arial" w:hAnsi="Arial"/>
          <w:sz w:val="21"/>
          <w:szCs w:val="21"/>
        </w:rPr>
        <w:t xml:space="preserve">Maintain and update model inventory records, tracking validation status, model risk ratings, and remediation progress.</w:t>
      </w:r>
    </w:p>
    <w:p>
      <w:pPr>
        <w:pStyle w:val="ListParagraph"/>
        <w:numPr>
          <w:ilvl w:val="0"/>
          <w:numId w:val="2"/>
        </w:numPr>
        <w:spacing w:before="36" w:after="36"/>
      </w:pPr>
      <w:r>
        <w:rPr>
          <w:rFonts w:ascii="Arial" w:cs="Arial" w:eastAsia="Arial" w:hAnsi="Arial"/>
          <w:sz w:val="21"/>
          <w:szCs w:val="21"/>
        </w:rPr>
        <w:t xml:space="preserve">Support the preparation of materials for model risk committees and governance forums.</w:t>
      </w:r>
    </w:p>
    <w:p>
      <w:pPr>
        <w:pStyle w:val="ListParagraph"/>
        <w:numPr>
          <w:ilvl w:val="0"/>
          <w:numId w:val="2"/>
        </w:numPr>
        <w:spacing w:before="36" w:after="36"/>
      </w:pPr>
      <w:r>
        <w:rPr>
          <w:rFonts w:ascii="Arial" w:cs="Arial" w:eastAsia="Arial" w:hAnsi="Arial"/>
          <w:sz w:val="21"/>
          <w:szCs w:val="21"/>
        </w:rPr>
        <w:t xml:space="preserve">Assist in reviewing model documentation submitted by model owners for completeness and clarity.</w:t>
      </w:r>
    </w:p>
    <w:p>
      <w:pPr>
        <w:spacing w:before="60" w:after="60"/>
      </w:pPr>
      <w:r>
        <w:t xml:space="preserve"/>
      </w:r>
    </w:p>
    <w:p>
      <w:pPr>
        <w:spacing w:before="200" w:after="80"/>
      </w:pPr>
      <w:r>
        <w:rPr>
          <w:rFonts w:ascii="Arial" w:cs="Arial" w:eastAsia="Arial" w:hAnsi="Arial"/>
          <w:b/>
          <w:bCs/>
          <w:color w:val="2E6DA4"/>
          <w:sz w:val="23"/>
          <w:szCs w:val="23"/>
        </w:rPr>
        <w:t xml:space="preserve">Learning &amp; Development</w:t>
      </w:r>
    </w:p>
    <w:p>
      <w:pPr>
        <w:pStyle w:val="ListParagraph"/>
        <w:numPr>
          <w:ilvl w:val="0"/>
          <w:numId w:val="2"/>
        </w:numPr>
        <w:spacing w:before="36" w:after="36"/>
      </w:pPr>
      <w:r>
        <w:rPr>
          <w:rFonts w:ascii="Arial" w:cs="Arial" w:eastAsia="Arial" w:hAnsi="Arial"/>
          <w:sz w:val="21"/>
          <w:szCs w:val="21"/>
        </w:rPr>
        <w:t xml:space="preserve">Actively build knowledge across all model types in the MRM portfolio through structured training, peer review participation, and self-directed study.</w:t>
      </w:r>
    </w:p>
    <w:p>
      <w:pPr>
        <w:pStyle w:val="ListParagraph"/>
        <w:numPr>
          <w:ilvl w:val="0"/>
          <w:numId w:val="2"/>
        </w:numPr>
        <w:spacing w:before="36" w:after="36"/>
      </w:pPr>
      <w:r>
        <w:rPr>
          <w:rFonts w:ascii="Arial" w:cs="Arial" w:eastAsia="Arial" w:hAnsi="Arial"/>
          <w:sz w:val="21"/>
          <w:szCs w:val="21"/>
        </w:rPr>
        <w:t xml:space="preserve">Attend model walkthroughs and technical discussions with model development teams.</w:t>
      </w:r>
    </w:p>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Model Validation Skills &amp; Technical Knowledge</w:t>
      </w:r>
    </w:p>
    <w:p>
      <w:pPr>
        <w:spacing w:before="60" w:after="60"/>
      </w:pPr>
      <w:r>
        <w:rPr>
          <w:rFonts w:ascii="Arial" w:cs="Arial" w:eastAsia="Arial" w:hAnsi="Arial"/>
          <w:sz w:val="21"/>
          <w:szCs w:val="21"/>
        </w:rPr>
        <w:t xml:space="preserve">The following covers the full range of model types within scope for the MRM team. Junior validators will develop knowledge progressively across these areas, with initial focus guided by team needs and individual background.</w:t>
      </w:r>
    </w:p>
    <w:p>
      <w:pPr>
        <w:spacing w:before="60" w:after="60"/>
      </w:pPr>
      <w:r>
        <w:t xml:space="preserve"/>
      </w:r>
    </w:p>
    <w:p>
      <w:pPr>
        <w:spacing w:before="200" w:after="80"/>
      </w:pPr>
      <w:r>
        <w:rPr>
          <w:rFonts w:ascii="Arial" w:cs="Arial" w:eastAsia="Arial" w:hAnsi="Arial"/>
          <w:b/>
          <w:bCs/>
          <w:color w:val="2E6DA4"/>
          <w:sz w:val="23"/>
          <w:szCs w:val="23"/>
        </w:rPr>
        <w:t xml:space="preserve">1. Credit Risk Models (PD / LGD / EAD / IFRS 9)</w:t>
      </w:r>
    </w:p>
    <w:p>
      <w:pPr>
        <w:pStyle w:val="ListParagraph"/>
        <w:numPr>
          <w:ilvl w:val="0"/>
          <w:numId w:val="2"/>
        </w:numPr>
        <w:spacing w:before="36" w:after="36"/>
      </w:pPr>
      <w:r>
        <w:rPr>
          <w:rFonts w:ascii="Arial" w:cs="Arial" w:eastAsia="Arial" w:hAnsi="Arial"/>
          <w:sz w:val="21"/>
          <w:szCs w:val="21"/>
        </w:rPr>
        <w:t xml:space="preserve">Understand the structure and purpose of Probability of Default (PD), Loss Given Default (LGD), and Exposure at Default (EAD) models used in IRB frameworks.</w:t>
      </w:r>
    </w:p>
    <w:p>
      <w:pPr>
        <w:pStyle w:val="ListParagraph"/>
        <w:numPr>
          <w:ilvl w:val="0"/>
          <w:numId w:val="2"/>
        </w:numPr>
        <w:spacing w:before="36" w:after="36"/>
      </w:pPr>
      <w:r>
        <w:rPr>
          <w:rFonts w:ascii="Arial" w:cs="Arial" w:eastAsia="Arial" w:hAnsi="Arial"/>
          <w:sz w:val="21"/>
          <w:szCs w:val="21"/>
        </w:rPr>
        <w:t xml:space="preserve">Familiarity with IFRS 9 expected credit loss (ECL) staging, lifetime PD curves, and forward-looking macroeconomic overlays.</w:t>
      </w:r>
    </w:p>
    <w:p>
      <w:pPr>
        <w:pStyle w:val="ListParagraph"/>
        <w:numPr>
          <w:ilvl w:val="0"/>
          <w:numId w:val="2"/>
        </w:numPr>
        <w:spacing w:before="36" w:after="36"/>
      </w:pPr>
      <w:r>
        <w:rPr>
          <w:rFonts w:ascii="Arial" w:cs="Arial" w:eastAsia="Arial" w:hAnsi="Arial"/>
          <w:sz w:val="21"/>
          <w:szCs w:val="21"/>
        </w:rPr>
        <w:t xml:space="preserve">Ability to run performance tests: Gini coefficient, ROC/AUC, KS statistic, PSI, and concentration indices.</w:t>
      </w:r>
    </w:p>
    <w:p>
      <w:pPr>
        <w:pStyle w:val="ListParagraph"/>
        <w:numPr>
          <w:ilvl w:val="0"/>
          <w:numId w:val="2"/>
        </w:numPr>
        <w:spacing w:before="36" w:after="36"/>
      </w:pPr>
      <w:r>
        <w:rPr>
          <w:rFonts w:ascii="Arial" w:cs="Arial" w:eastAsia="Arial" w:hAnsi="Arial"/>
          <w:sz w:val="21"/>
          <w:szCs w:val="21"/>
        </w:rPr>
        <w:t xml:space="preserve">Awareness of Basel IV requirements and the Output Floor's impact on internal model use.</w:t>
      </w:r>
    </w:p>
    <w:p>
      <w:pPr>
        <w:spacing w:before="60" w:after="60"/>
      </w:pPr>
      <w:r>
        <w:t xml:space="preserve"/>
      </w:r>
    </w:p>
    <w:p>
      <w:pPr>
        <w:spacing w:before="200" w:after="80"/>
      </w:pPr>
      <w:r>
        <w:rPr>
          <w:rFonts w:ascii="Arial" w:cs="Arial" w:eastAsia="Arial" w:hAnsi="Arial"/>
          <w:b/>
          <w:bCs/>
          <w:color w:val="2E6DA4"/>
          <w:sz w:val="23"/>
          <w:szCs w:val="23"/>
        </w:rPr>
        <w:t xml:space="preserve">2. Market Risk Models (VaR / ES / Stress Testing)</w:t>
      </w:r>
    </w:p>
    <w:p>
      <w:pPr>
        <w:pStyle w:val="ListParagraph"/>
        <w:numPr>
          <w:ilvl w:val="0"/>
          <w:numId w:val="2"/>
        </w:numPr>
        <w:spacing w:before="36" w:after="36"/>
      </w:pPr>
      <w:r>
        <w:rPr>
          <w:rFonts w:ascii="Arial" w:cs="Arial" w:eastAsia="Arial" w:hAnsi="Arial"/>
          <w:sz w:val="21"/>
          <w:szCs w:val="21"/>
        </w:rPr>
        <w:t xml:space="preserve">Basic understanding of Value-at-Risk (VaR) methodologies: historical simulation, parametric, and Monte Carlo approaches.</w:t>
      </w:r>
    </w:p>
    <w:p>
      <w:pPr>
        <w:pStyle w:val="ListParagraph"/>
        <w:numPr>
          <w:ilvl w:val="0"/>
          <w:numId w:val="2"/>
        </w:numPr>
        <w:spacing w:before="36" w:after="36"/>
      </w:pPr>
      <w:r>
        <w:rPr>
          <w:rFonts w:ascii="Arial" w:cs="Arial" w:eastAsia="Arial" w:hAnsi="Arial"/>
          <w:sz w:val="21"/>
          <w:szCs w:val="21"/>
        </w:rPr>
        <w:t xml:space="preserve">Awareness of Expected Shortfall (ES) as the FRTB-mandated risk measure and its differences from VaR.</w:t>
      </w:r>
    </w:p>
    <w:p>
      <w:pPr>
        <w:pStyle w:val="ListParagraph"/>
        <w:numPr>
          <w:ilvl w:val="0"/>
          <w:numId w:val="2"/>
        </w:numPr>
        <w:spacing w:before="36" w:after="36"/>
      </w:pPr>
      <w:r>
        <w:rPr>
          <w:rFonts w:ascii="Arial" w:cs="Arial" w:eastAsia="Arial" w:hAnsi="Arial"/>
          <w:sz w:val="21"/>
          <w:szCs w:val="21"/>
        </w:rPr>
        <w:t xml:space="preserve">Familiarity with backtesting frameworks (Basel traffic light, PLA test) and how exceedances are assessed.</w:t>
      </w:r>
    </w:p>
    <w:p>
      <w:pPr>
        <w:pStyle w:val="ListParagraph"/>
        <w:numPr>
          <w:ilvl w:val="0"/>
          <w:numId w:val="2"/>
        </w:numPr>
        <w:spacing w:before="36" w:after="36"/>
      </w:pPr>
      <w:r>
        <w:rPr>
          <w:rFonts w:ascii="Arial" w:cs="Arial" w:eastAsia="Arial" w:hAnsi="Arial"/>
          <w:sz w:val="21"/>
          <w:szCs w:val="21"/>
        </w:rPr>
        <w:t xml:space="preserve">Understanding of stress testing frameworks including reverse stress tests and regulatory scenarios (e.g., PRA/EBA stress tests).</w:t>
      </w:r>
    </w:p>
    <w:p>
      <w:pPr>
        <w:spacing w:before="60" w:after="60"/>
      </w:pPr>
      <w:r>
        <w:t xml:space="preserve"/>
      </w:r>
    </w:p>
    <w:p>
      <w:pPr>
        <w:spacing w:before="200" w:after="80"/>
      </w:pPr>
      <w:r>
        <w:rPr>
          <w:rFonts w:ascii="Arial" w:cs="Arial" w:eastAsia="Arial" w:hAnsi="Arial"/>
          <w:b/>
          <w:bCs/>
          <w:color w:val="2E6DA4"/>
          <w:sz w:val="23"/>
          <w:szCs w:val="23"/>
        </w:rPr>
        <w:t xml:space="preserve">3. Pricing Models (Derivatives &amp; Structured Products)</w:t>
      </w:r>
    </w:p>
    <w:p>
      <w:pPr>
        <w:pStyle w:val="ListParagraph"/>
        <w:numPr>
          <w:ilvl w:val="0"/>
          <w:numId w:val="2"/>
        </w:numPr>
        <w:spacing w:before="36" w:after="36"/>
      </w:pPr>
      <w:r>
        <w:rPr>
          <w:rFonts w:ascii="Arial" w:cs="Arial" w:eastAsia="Arial" w:hAnsi="Arial"/>
          <w:sz w:val="21"/>
          <w:szCs w:val="21"/>
        </w:rPr>
        <w:t xml:space="preserve">Foundational knowledge of derivatives pricing theory: Black-Scholes, risk-neutral pricing, and the role of the risk-free rate.</w:t>
      </w:r>
    </w:p>
    <w:p>
      <w:pPr>
        <w:pStyle w:val="ListParagraph"/>
        <w:numPr>
          <w:ilvl w:val="0"/>
          <w:numId w:val="2"/>
        </w:numPr>
        <w:spacing w:before="36" w:after="36"/>
      </w:pPr>
      <w:r>
        <w:rPr>
          <w:rFonts w:ascii="Arial" w:cs="Arial" w:eastAsia="Arial" w:hAnsi="Arial"/>
          <w:sz w:val="21"/>
          <w:szCs w:val="21"/>
        </w:rPr>
        <w:t xml:space="preserve">Awareness of key model types: interest rate models (Hull-White, LMM), equity models (local vol, stochastic vol), and credit models (intensity-based, structural).</w:t>
      </w:r>
    </w:p>
    <w:p>
      <w:pPr>
        <w:pStyle w:val="ListParagraph"/>
        <w:numPr>
          <w:ilvl w:val="0"/>
          <w:numId w:val="2"/>
        </w:numPr>
        <w:spacing w:before="36" w:after="36"/>
      </w:pPr>
      <w:r>
        <w:rPr>
          <w:rFonts w:ascii="Arial" w:cs="Arial" w:eastAsia="Arial" w:hAnsi="Arial"/>
          <w:sz w:val="21"/>
          <w:szCs w:val="21"/>
        </w:rPr>
        <w:t xml:space="preserve">Understanding of how Greeks (delta, gamma, vega, theta) are used to assess model sensitivity and hedging behaviour.</w:t>
      </w:r>
    </w:p>
    <w:p>
      <w:pPr>
        <w:pStyle w:val="ListParagraph"/>
        <w:numPr>
          <w:ilvl w:val="0"/>
          <w:numId w:val="2"/>
        </w:numPr>
        <w:spacing w:before="36" w:after="36"/>
      </w:pPr>
      <w:r>
        <w:rPr>
          <w:rFonts w:ascii="Arial" w:cs="Arial" w:eastAsia="Arial" w:hAnsi="Arial"/>
          <w:sz w:val="21"/>
          <w:szCs w:val="21"/>
        </w:rPr>
        <w:t xml:space="preserve">Exposure to structured products (CLOs, CDOs, CMBS) and the models used to price tranches and assess subordination.</w:t>
      </w:r>
    </w:p>
    <w:p>
      <w:pPr>
        <w:spacing w:before="60" w:after="60"/>
      </w:pPr>
      <w:r>
        <w:t xml:space="preserve"/>
      </w:r>
    </w:p>
    <w:p>
      <w:pPr>
        <w:spacing w:before="200" w:after="80"/>
      </w:pPr>
      <w:r>
        <w:rPr>
          <w:rFonts w:ascii="Arial" w:cs="Arial" w:eastAsia="Arial" w:hAnsi="Arial"/>
          <w:b/>
          <w:bCs/>
          <w:color w:val="2E6DA4"/>
          <w:sz w:val="23"/>
          <w:szCs w:val="23"/>
        </w:rPr>
        <w:t xml:space="preserve">4. Credit Trading Models</w:t>
      </w:r>
    </w:p>
    <w:p>
      <w:pPr>
        <w:pStyle w:val="ListParagraph"/>
        <w:numPr>
          <w:ilvl w:val="0"/>
          <w:numId w:val="2"/>
        </w:numPr>
        <w:spacing w:before="36" w:after="36"/>
      </w:pPr>
      <w:r>
        <w:rPr>
          <w:rFonts w:ascii="Arial" w:cs="Arial" w:eastAsia="Arial" w:hAnsi="Arial"/>
          <w:sz w:val="21"/>
          <w:szCs w:val="21"/>
        </w:rPr>
        <w:t xml:space="preserve">Awareness of credit spread models used to price corporate bonds, CDS, and credit indices (CDX, iTraxx).</w:t>
      </w:r>
    </w:p>
    <w:p>
      <w:pPr>
        <w:pStyle w:val="ListParagraph"/>
        <w:numPr>
          <w:ilvl w:val="0"/>
          <w:numId w:val="2"/>
        </w:numPr>
        <w:spacing w:before="36" w:after="36"/>
      </w:pPr>
      <w:r>
        <w:rPr>
          <w:rFonts w:ascii="Arial" w:cs="Arial" w:eastAsia="Arial" w:hAnsi="Arial"/>
          <w:sz w:val="21"/>
          <w:szCs w:val="21"/>
        </w:rPr>
        <w:t xml:space="preserve">Basic understanding of bond pricing, yield curve construction, and Z-spread / OAS decomposition.</w:t>
      </w:r>
    </w:p>
    <w:p>
      <w:pPr>
        <w:pStyle w:val="ListParagraph"/>
        <w:numPr>
          <w:ilvl w:val="0"/>
          <w:numId w:val="2"/>
        </w:numPr>
        <w:spacing w:before="36" w:after="36"/>
      </w:pPr>
      <w:r>
        <w:rPr>
          <w:rFonts w:ascii="Arial" w:cs="Arial" w:eastAsia="Arial" w:hAnsi="Arial"/>
          <w:sz w:val="21"/>
          <w:szCs w:val="21"/>
        </w:rPr>
        <w:t xml:space="preserve">Familiarity with counterparty credit risk (CCR) concepts: PFE, EPE, and CVA at a conceptual level.</w:t>
      </w:r>
    </w:p>
    <w:p>
      <w:pPr>
        <w:pStyle w:val="ListParagraph"/>
        <w:numPr>
          <w:ilvl w:val="0"/>
          <w:numId w:val="2"/>
        </w:numPr>
        <w:spacing w:before="36" w:after="36"/>
      </w:pPr>
      <w:r>
        <w:rPr>
          <w:rFonts w:ascii="Arial" w:cs="Arial" w:eastAsia="Arial" w:hAnsi="Arial"/>
          <w:sz w:val="21"/>
          <w:szCs w:val="21"/>
        </w:rPr>
        <w:t xml:space="preserve">Understanding of wrong-way risk and how it affects credit exposure estimation in derivatives portfolios.</w:t>
      </w:r>
    </w:p>
    <w:p>
      <w:pPr>
        <w:spacing w:before="60" w:after="60"/>
      </w:pPr>
      <w:r>
        <w:t xml:space="preserve"/>
      </w:r>
    </w:p>
    <w:p>
      <w:pPr>
        <w:spacing w:before="200" w:after="80"/>
      </w:pPr>
      <w:r>
        <w:rPr>
          <w:rFonts w:ascii="Arial" w:cs="Arial" w:eastAsia="Arial" w:hAnsi="Arial"/>
          <w:b/>
          <w:bCs/>
          <w:color w:val="2E6DA4"/>
          <w:sz w:val="23"/>
          <w:szCs w:val="23"/>
        </w:rPr>
        <w:t xml:space="preserve">5. Behavioural &amp; ALM Models</w:t>
      </w:r>
    </w:p>
    <w:p>
      <w:pPr>
        <w:pStyle w:val="ListParagraph"/>
        <w:numPr>
          <w:ilvl w:val="0"/>
          <w:numId w:val="2"/>
        </w:numPr>
        <w:spacing w:before="36" w:after="36"/>
      </w:pPr>
      <w:r>
        <w:rPr>
          <w:rFonts w:ascii="Arial" w:cs="Arial" w:eastAsia="Arial" w:hAnsi="Arial"/>
          <w:sz w:val="21"/>
          <w:szCs w:val="21"/>
        </w:rPr>
        <w:t xml:space="preserve">Awareness of behavioural models used in Asset and Liability Management: prepayment models, non-maturity deposit (NMD) models, and pipeline models.</w:t>
      </w:r>
    </w:p>
    <w:p>
      <w:pPr>
        <w:pStyle w:val="ListParagraph"/>
        <w:numPr>
          <w:ilvl w:val="0"/>
          <w:numId w:val="2"/>
        </w:numPr>
        <w:spacing w:before="36" w:after="36"/>
      </w:pPr>
      <w:r>
        <w:rPr>
          <w:rFonts w:ascii="Arial" w:cs="Arial" w:eastAsia="Arial" w:hAnsi="Arial"/>
          <w:sz w:val="21"/>
          <w:szCs w:val="21"/>
        </w:rPr>
        <w:t xml:space="preserve">Basic understanding of interest rate risk in the banking book (IRRBB) and how behavioural assumptions affect NII and EVE sensitivity.</w:t>
      </w:r>
    </w:p>
    <w:p>
      <w:pPr>
        <w:pStyle w:val="ListParagraph"/>
        <w:numPr>
          <w:ilvl w:val="0"/>
          <w:numId w:val="2"/>
        </w:numPr>
        <w:spacing w:before="36" w:after="36"/>
      </w:pPr>
      <w:r>
        <w:rPr>
          <w:rFonts w:ascii="Arial" w:cs="Arial" w:eastAsia="Arial" w:hAnsi="Arial"/>
          <w:sz w:val="21"/>
          <w:szCs w:val="21"/>
        </w:rPr>
        <w:t xml:space="preserve">Familiarity with optionality embedded in retail products (e.g., mortgage prepayment, savings withdrawal) and how models capture this.</w:t>
      </w:r>
    </w:p>
    <w:p>
      <w:pPr>
        <w:spacing w:before="60" w:after="60"/>
      </w:pPr>
      <w:r>
        <w:t xml:space="preserve"/>
      </w:r>
    </w:p>
    <w:p>
      <w:pPr>
        <w:spacing w:before="200" w:after="80"/>
      </w:pPr>
      <w:r>
        <w:rPr>
          <w:rFonts w:ascii="Arial" w:cs="Arial" w:eastAsia="Arial" w:hAnsi="Arial"/>
          <w:b/>
          <w:bCs/>
          <w:color w:val="2E6DA4"/>
          <w:sz w:val="23"/>
          <w:szCs w:val="23"/>
        </w:rPr>
        <w:t xml:space="preserve">6. Operational Risk Models</w:t>
      </w:r>
    </w:p>
    <w:p>
      <w:pPr>
        <w:pStyle w:val="ListParagraph"/>
        <w:numPr>
          <w:ilvl w:val="0"/>
          <w:numId w:val="2"/>
        </w:numPr>
        <w:spacing w:before="36" w:after="36"/>
      </w:pPr>
      <w:r>
        <w:rPr>
          <w:rFonts w:ascii="Arial" w:cs="Arial" w:eastAsia="Arial" w:hAnsi="Arial"/>
          <w:sz w:val="21"/>
          <w:szCs w:val="21"/>
        </w:rPr>
        <w:t xml:space="preserve">Understanding of the Loss Distribution Approach (LDA) and Advanced Measurement Approaches (AMA) for operational risk capital estimation.</w:t>
      </w:r>
    </w:p>
    <w:p>
      <w:pPr>
        <w:pStyle w:val="ListParagraph"/>
        <w:numPr>
          <w:ilvl w:val="0"/>
          <w:numId w:val="2"/>
        </w:numPr>
        <w:spacing w:before="36" w:after="36"/>
      </w:pPr>
      <w:r>
        <w:rPr>
          <w:rFonts w:ascii="Arial" w:cs="Arial" w:eastAsia="Arial" w:hAnsi="Arial"/>
          <w:sz w:val="21"/>
          <w:szCs w:val="21"/>
        </w:rPr>
        <w:t xml:space="preserve">Awareness of scenario analysis, key risk indicators (KRIs), and how they feed into op risk models.</w:t>
      </w:r>
    </w:p>
    <w:p>
      <w:pPr>
        <w:pStyle w:val="ListParagraph"/>
        <w:numPr>
          <w:ilvl w:val="0"/>
          <w:numId w:val="2"/>
        </w:numPr>
        <w:spacing w:before="36" w:after="36"/>
      </w:pPr>
      <w:r>
        <w:rPr>
          <w:rFonts w:ascii="Arial" w:cs="Arial" w:eastAsia="Arial" w:hAnsi="Arial"/>
          <w:sz w:val="21"/>
          <w:szCs w:val="21"/>
        </w:rPr>
        <w:t xml:space="preserve">Familiarity with the Basel IV Standardised Measurement Approach (SMA) replacing AMA models.</w:t>
      </w:r>
    </w:p>
    <w:p>
      <w:pPr>
        <w:spacing w:before="60" w:after="60"/>
      </w:pPr>
      <w:r>
        <w:t xml:space="preserve"/>
      </w:r>
    </w:p>
    <w:p>
      <w:pPr>
        <w:spacing w:before="200" w:after="80"/>
      </w:pPr>
      <w:r>
        <w:rPr>
          <w:rFonts w:ascii="Arial" w:cs="Arial" w:eastAsia="Arial" w:hAnsi="Arial"/>
          <w:b/>
          <w:bCs/>
          <w:color w:val="2E6DA4"/>
          <w:sz w:val="23"/>
          <w:szCs w:val="23"/>
        </w:rPr>
        <w:t xml:space="preserve">7. Climate &amp; ESG Risk Models</w:t>
      </w:r>
    </w:p>
    <w:p>
      <w:pPr>
        <w:pStyle w:val="ListParagraph"/>
        <w:numPr>
          <w:ilvl w:val="0"/>
          <w:numId w:val="2"/>
        </w:numPr>
        <w:spacing w:before="36" w:after="36"/>
      </w:pPr>
      <w:r>
        <w:rPr>
          <w:rFonts w:ascii="Arial" w:cs="Arial" w:eastAsia="Arial" w:hAnsi="Arial"/>
          <w:sz w:val="21"/>
          <w:szCs w:val="21"/>
        </w:rPr>
        <w:t xml:space="preserve">Awareness of physical and transition risk channels and how they are integrated into credit and market risk models.</w:t>
      </w:r>
    </w:p>
    <w:p>
      <w:pPr>
        <w:pStyle w:val="ListParagraph"/>
        <w:numPr>
          <w:ilvl w:val="0"/>
          <w:numId w:val="2"/>
        </w:numPr>
        <w:spacing w:before="36" w:after="36"/>
      </w:pPr>
      <w:r>
        <w:rPr>
          <w:rFonts w:ascii="Arial" w:cs="Arial" w:eastAsia="Arial" w:hAnsi="Arial"/>
          <w:sz w:val="21"/>
          <w:szCs w:val="21"/>
        </w:rPr>
        <w:t xml:space="preserve">Familiarity with climate scenario frameworks: NGFS scenarios, TCFD disclosures, and the PRA's Climate Biennial Exploratory Scenario (CBES).</w:t>
      </w:r>
    </w:p>
    <w:p>
      <w:pPr>
        <w:pStyle w:val="ListParagraph"/>
        <w:numPr>
          <w:ilvl w:val="0"/>
          <w:numId w:val="2"/>
        </w:numPr>
        <w:spacing w:before="36" w:after="36"/>
      </w:pPr>
      <w:r>
        <w:rPr>
          <w:rFonts w:ascii="Arial" w:cs="Arial" w:eastAsia="Arial" w:hAnsi="Arial"/>
          <w:sz w:val="21"/>
          <w:szCs w:val="21"/>
        </w:rPr>
        <w:t xml:space="preserve">Understanding of how ESG scoring models are constructed and validated, including data quality and greenwashing risk considerations.</w:t>
      </w:r>
    </w:p>
    <w:p>
      <w:pPr>
        <w:spacing w:before="60" w:after="60"/>
      </w:pPr>
      <w:r>
        <w:t xml:space="preserve"/>
      </w:r>
    </w:p>
    <w:p>
      <w:pPr>
        <w:spacing w:before="200" w:after="80"/>
      </w:pPr>
      <w:r>
        <w:rPr>
          <w:rFonts w:ascii="Arial" w:cs="Arial" w:eastAsia="Arial" w:hAnsi="Arial"/>
          <w:b/>
          <w:bCs/>
          <w:color w:val="2E6DA4"/>
          <w:sz w:val="23"/>
          <w:szCs w:val="23"/>
        </w:rPr>
        <w:t xml:space="preserve">8. Machine Learning &amp; AI Models in Risk</w:t>
      </w:r>
    </w:p>
    <w:p>
      <w:pPr>
        <w:pStyle w:val="ListParagraph"/>
        <w:numPr>
          <w:ilvl w:val="0"/>
          <w:numId w:val="2"/>
        </w:numPr>
        <w:spacing w:before="36" w:after="36"/>
      </w:pPr>
      <w:r>
        <w:rPr>
          <w:rFonts w:ascii="Arial" w:cs="Arial" w:eastAsia="Arial" w:hAnsi="Arial"/>
          <w:sz w:val="21"/>
          <w:szCs w:val="21"/>
        </w:rPr>
        <w:t xml:space="preserve">Understanding of supervised ML model types commonly used in risk: gradient boosting (XGBoost, LightGBM), logistic regression, random forests, and neural networks.</w:t>
      </w:r>
    </w:p>
    <w:p>
      <w:pPr>
        <w:pStyle w:val="ListParagraph"/>
        <w:numPr>
          <w:ilvl w:val="0"/>
          <w:numId w:val="2"/>
        </w:numPr>
        <w:spacing w:before="36" w:after="36"/>
      </w:pPr>
      <w:r>
        <w:rPr>
          <w:rFonts w:ascii="Arial" w:cs="Arial" w:eastAsia="Arial" w:hAnsi="Arial"/>
          <w:sz w:val="21"/>
          <w:szCs w:val="21"/>
        </w:rPr>
        <w:t xml:space="preserve">Awareness of model explainability techniques (SHAP, LIME) and why interpretability is critical in a regulated risk context.</w:t>
      </w:r>
    </w:p>
    <w:p>
      <w:pPr>
        <w:pStyle w:val="ListParagraph"/>
        <w:numPr>
          <w:ilvl w:val="0"/>
          <w:numId w:val="2"/>
        </w:numPr>
        <w:spacing w:before="36" w:after="36"/>
      </w:pPr>
      <w:r>
        <w:rPr>
          <w:rFonts w:ascii="Arial" w:cs="Arial" w:eastAsia="Arial" w:hAnsi="Arial"/>
          <w:sz w:val="21"/>
          <w:szCs w:val="21"/>
        </w:rPr>
        <w:t xml:space="preserve">Familiarity with model stability testing: feature drift, data leakage detection, and out-of-time validation.</w:t>
      </w:r>
    </w:p>
    <w:p>
      <w:pPr>
        <w:pStyle w:val="ListParagraph"/>
        <w:numPr>
          <w:ilvl w:val="0"/>
          <w:numId w:val="2"/>
        </w:numPr>
        <w:spacing w:before="36" w:after="36"/>
      </w:pPr>
      <w:r>
        <w:rPr>
          <w:rFonts w:ascii="Arial" w:cs="Arial" w:eastAsia="Arial" w:hAnsi="Arial"/>
          <w:sz w:val="21"/>
          <w:szCs w:val="21"/>
        </w:rPr>
        <w:t xml:space="preserve">Understanding of the SR 11-7 / SS1/23 expectations applied to ML models and the concept of model complexity risk.</w:t>
      </w:r>
    </w:p>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Required Qualifications &amp; Experience</w:t>
      </w:r>
    </w:p>
    <w:p>
      <w:pPr>
        <w:pStyle w:val="ListParagraph"/>
        <w:numPr>
          <w:ilvl w:val="0"/>
          <w:numId w:val="2"/>
        </w:numPr>
        <w:spacing w:before="36" w:after="36"/>
      </w:pPr>
      <w:r>
        <w:rPr>
          <w:rFonts w:ascii="Arial" w:cs="Arial" w:eastAsia="Arial" w:hAnsi="Arial"/>
          <w:sz w:val="21"/>
          <w:szCs w:val="21"/>
        </w:rPr>
        <w:t xml:space="preserve">Bachelor's or Master's degree in Mathematics, Statistics, Physics, Economics, Financial Engineering, Computer Science, or a related quantitative discipline.</w:t>
      </w:r>
    </w:p>
    <w:p>
      <w:pPr>
        <w:pStyle w:val="ListParagraph"/>
        <w:numPr>
          <w:ilvl w:val="0"/>
          <w:numId w:val="2"/>
        </w:numPr>
        <w:spacing w:before="36" w:after="36"/>
      </w:pPr>
      <w:r>
        <w:rPr>
          <w:rFonts w:ascii="Arial" w:cs="Arial" w:eastAsia="Arial" w:hAnsi="Arial"/>
          <w:sz w:val="21"/>
          <w:szCs w:val="21"/>
        </w:rPr>
        <w:t xml:space="preserve">0–2 years of experience in a quantitative finance, risk, or data science role (internship experience welcomed).</w:t>
      </w:r>
    </w:p>
    <w:p>
      <w:pPr>
        <w:pStyle w:val="ListParagraph"/>
        <w:numPr>
          <w:ilvl w:val="0"/>
          <w:numId w:val="2"/>
        </w:numPr>
        <w:spacing w:before="36" w:after="36"/>
      </w:pPr>
      <w:r>
        <w:rPr>
          <w:rFonts w:ascii="Arial" w:cs="Arial" w:eastAsia="Arial" w:hAnsi="Arial"/>
          <w:sz w:val="21"/>
          <w:szCs w:val="21"/>
        </w:rPr>
        <w:t xml:space="preserve">Working knowledge of Python or R for data analysis and statistical testing.</w:t>
      </w:r>
    </w:p>
    <w:p>
      <w:pPr>
        <w:pStyle w:val="ListParagraph"/>
        <w:numPr>
          <w:ilvl w:val="0"/>
          <w:numId w:val="2"/>
        </w:numPr>
        <w:spacing w:before="36" w:after="36"/>
      </w:pPr>
      <w:r>
        <w:rPr>
          <w:rFonts w:ascii="Arial" w:cs="Arial" w:eastAsia="Arial" w:hAnsi="Arial"/>
          <w:sz w:val="21"/>
          <w:szCs w:val="21"/>
        </w:rPr>
        <w:t xml:space="preserve">Strong analytical and problem-solving skills; ability to interpret quantitative model outputs critically.</w:t>
      </w:r>
    </w:p>
    <w:p>
      <w:pPr>
        <w:pStyle w:val="ListParagraph"/>
        <w:numPr>
          <w:ilvl w:val="0"/>
          <w:numId w:val="2"/>
        </w:numPr>
        <w:spacing w:before="36" w:after="36"/>
      </w:pPr>
      <w:r>
        <w:rPr>
          <w:rFonts w:ascii="Arial" w:cs="Arial" w:eastAsia="Arial" w:hAnsi="Arial"/>
          <w:sz w:val="21"/>
          <w:szCs w:val="21"/>
        </w:rPr>
        <w:t xml:space="preserve">Good written communication skills — able to translate technical findings into clear documentation.</w:t>
      </w:r>
    </w:p>
    <w:p>
      <w:pPr>
        <w:pStyle w:val="ListParagraph"/>
        <w:numPr>
          <w:ilvl w:val="0"/>
          <w:numId w:val="2"/>
        </w:numPr>
        <w:spacing w:before="36" w:after="36"/>
      </w:pPr>
      <w:r>
        <w:rPr>
          <w:rFonts w:ascii="Arial" w:cs="Arial" w:eastAsia="Arial" w:hAnsi="Arial"/>
          <w:sz w:val="21"/>
          <w:szCs w:val="21"/>
        </w:rPr>
        <w:t xml:space="preserve">Eagerness to learn, intellectual curiosity, and attention to detail.</w:t>
      </w:r>
    </w:p>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Desirable</w:t>
      </w:r>
    </w:p>
    <w:p>
      <w:pPr>
        <w:pStyle w:val="ListParagraph"/>
        <w:numPr>
          <w:ilvl w:val="0"/>
          <w:numId w:val="2"/>
        </w:numPr>
        <w:spacing w:before="36" w:after="36"/>
      </w:pPr>
      <w:r>
        <w:rPr>
          <w:rFonts w:ascii="Arial" w:cs="Arial" w:eastAsia="Arial" w:hAnsi="Arial"/>
          <w:sz w:val="21"/>
          <w:szCs w:val="21"/>
        </w:rPr>
        <w:t xml:space="preserve">Exposure to financial risk models through academic projects, dissertation, or internship.</w:t>
      </w:r>
    </w:p>
    <w:p>
      <w:pPr>
        <w:pStyle w:val="ListParagraph"/>
        <w:numPr>
          <w:ilvl w:val="0"/>
          <w:numId w:val="2"/>
        </w:numPr>
        <w:spacing w:before="36" w:after="36"/>
      </w:pPr>
      <w:r>
        <w:rPr>
          <w:rFonts w:ascii="Arial" w:cs="Arial" w:eastAsia="Arial" w:hAnsi="Arial"/>
          <w:sz w:val="21"/>
          <w:szCs w:val="21"/>
        </w:rPr>
        <w:t xml:space="preserve">Knowledge of SQL for data extraction and manipulation.</w:t>
      </w:r>
    </w:p>
    <w:p>
      <w:pPr>
        <w:pStyle w:val="ListParagraph"/>
        <w:numPr>
          <w:ilvl w:val="0"/>
          <w:numId w:val="2"/>
        </w:numPr>
        <w:spacing w:before="36" w:after="36"/>
      </w:pPr>
      <w:r>
        <w:rPr>
          <w:rFonts w:ascii="Arial" w:cs="Arial" w:eastAsia="Arial" w:hAnsi="Arial"/>
          <w:sz w:val="21"/>
          <w:szCs w:val="21"/>
        </w:rPr>
        <w:t xml:space="preserve">Progress towards CFA, FRM, or PRM qualification.</w:t>
      </w:r>
    </w:p>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What We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Competitive Salary</w:t>
            </w:r>
          </w:p>
          <w:p>
            <w:r>
              <w:rPr>
                <w:rFonts w:ascii="Arial" w:cs="Arial" w:eastAsia="Arial" w:hAnsi="Arial"/>
                <w:color w:val="444444"/>
                <w:sz w:val="20"/>
                <w:szCs w:val="20"/>
              </w:rPr>
              <w:t xml:space="preserve">Benchmarked to market rate for analyst / AVP level</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Annual Bonus</w:t>
            </w:r>
          </w:p>
          <w:p>
            <w:r>
              <w:rPr>
                <w:rFonts w:ascii="Arial" w:cs="Arial" w:eastAsia="Arial" w:hAnsi="Arial"/>
                <w:color w:val="444444"/>
                <w:sz w:val="20"/>
                <w:szCs w:val="20"/>
              </w:rPr>
              <w:t xml:space="preserve">Performance-linked discretionary bonus</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Hybrid Working</w:t>
            </w:r>
          </w:p>
          <w:p>
            <w:r>
              <w:rPr>
                <w:rFonts w:ascii="Arial" w:cs="Arial" w:eastAsia="Arial" w:hAnsi="Arial"/>
                <w:color w:val="444444"/>
                <w:sz w:val="20"/>
                <w:szCs w:val="20"/>
              </w:rPr>
              <w:t xml:space="preserve">3 days in-office, 2 days remote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Pension</w:t>
            </w:r>
          </w:p>
          <w:p>
            <w:r>
              <w:rPr>
                <w:rFonts w:ascii="Arial" w:cs="Arial" w:eastAsia="Arial" w:hAnsi="Arial"/>
                <w:color w:val="444444"/>
                <w:sz w:val="20"/>
                <w:szCs w:val="20"/>
              </w:rPr>
              <w:t xml:space="preserve">Employer contribution up to 8%</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Learning &amp; Development</w:t>
            </w:r>
          </w:p>
          <w:p>
            <w:r>
              <w:rPr>
                <w:rFonts w:ascii="Arial" w:cs="Arial" w:eastAsia="Arial" w:hAnsi="Arial"/>
                <w:color w:val="444444"/>
                <w:sz w:val="20"/>
                <w:szCs w:val="20"/>
              </w:rPr>
              <w:t xml:space="preserve">CFA/FRM study support &amp; dedicated training budget</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Wellbeing</w:t>
            </w:r>
          </w:p>
          <w:p>
            <w:r>
              <w:rPr>
                <w:rFonts w:ascii="Arial" w:cs="Arial" w:eastAsia="Arial" w:hAnsi="Arial"/>
                <w:color w:val="444444"/>
                <w:sz w:val="20"/>
                <w:szCs w:val="20"/>
              </w:rPr>
              <w:t xml:space="preserve">Private medical, life assurance &amp; EAP</w:t>
            </w:r>
          </w:p>
        </w:tc>
      </w:tr>
    </w:tbl>
    <w:p>
      <w:pPr>
        <w:spacing w:before="60" w:after="60"/>
      </w:pPr>
      <w:r>
        <w:t xml:space="preserve"/>
      </w:r>
    </w:p>
    <w:p>
      <w:pPr>
        <w:spacing w:before="60" w:after="60"/>
      </w:pPr>
      <w:r>
        <w:rPr>
          <w:rFonts w:ascii="Arial" w:cs="Arial" w:eastAsia="Arial" w:hAnsi="Arial"/>
          <w:i/>
          <w:iCs/>
          <w:color w:val="666666"/>
          <w:sz w:val="21"/>
          <w:szCs w:val="21"/>
        </w:rPr>
        <w:t xml:space="preserve">We are an equal opportunity employer committed to diversity and inclusion. We welcome applications from all qualified individuals regardless of background.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2026-02-22T11:57:57.802Z</dcterms:created>
  <dcterms:modified xsi:type="dcterms:W3CDTF">2026-02-22T11:57:57.803Z</dcterms:modified>
</cp:coreProperties>
</file>

<file path=docProps/custom.xml><?xml version="1.0" encoding="utf-8"?>
<Properties xmlns="http://schemas.openxmlformats.org/officeDocument/2006/custom-properties" xmlns:vt="http://schemas.openxmlformats.org/officeDocument/2006/docPropsVTypes"/>
</file>