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52"/>
          <w:szCs w:val="52"/>
        </w:rPr>
        <w:t xml:space="preserve">MODEL VALIDATOR</w:t>
      </w:r>
    </w:p>
    <w:p>
      <w:pPr>
        <w:spacing w:before="0" w:after="200"/>
      </w:pPr>
      <w:r>
        <w:rPr>
          <w:rFonts w:ascii="Arial" w:cs="Arial" w:eastAsia="Arial" w:hAnsi="Arial"/>
          <w:color w:val="666666"/>
          <w:sz w:val="24"/>
          <w:szCs w:val="24"/>
        </w:rPr>
        <w:t xml:space="preserve">Model Risk Management  |  Financial Services  |  VP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Department</w:t>
            </w:r>
          </w:p>
          <w:p>
            <w:r>
              <w:rPr>
                <w:rFonts w:ascii="Arial" w:cs="Arial" w:eastAsia="Arial" w:hAnsi="Arial"/>
                <w:sz w:val="20"/>
                <w:szCs w:val="20"/>
              </w:rPr>
              <w:t xml:space="preserve">Model Risk Management</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Level</w:t>
            </w:r>
          </w:p>
          <w:p>
            <w:r>
              <w:rPr>
                <w:rFonts w:ascii="Arial" w:cs="Arial" w:eastAsia="Arial" w:hAnsi="Arial"/>
                <w:sz w:val="20"/>
                <w:szCs w:val="20"/>
              </w:rPr>
              <w:t xml:space="preserve">VP</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Location</w:t>
            </w:r>
          </w:p>
          <w:p>
            <w:r>
              <w:rPr>
                <w:rFonts w:ascii="Arial" w:cs="Arial" w:eastAsia="Arial" w:hAnsi="Arial"/>
                <w:sz w:val="20"/>
                <w:szCs w:val="20"/>
              </w:rPr>
              <w:t xml:space="preserve">London / Hybrid</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Reporting To</w:t>
            </w:r>
          </w:p>
          <w:p>
            <w:r>
              <w:rPr>
                <w:rFonts w:ascii="Arial" w:cs="Arial" w:eastAsia="Arial" w:hAnsi="Arial"/>
                <w:sz w:val="20"/>
                <w:szCs w:val="20"/>
              </w:rPr>
              <w:t xml:space="preserve">Senior Model Validator / Director</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Employment</w:t>
            </w:r>
          </w:p>
          <w:p>
            <w:r>
              <w:rPr>
                <w:rFonts w:ascii="Arial" w:cs="Arial" w:eastAsia="Arial" w:hAnsi="Arial"/>
                <w:sz w:val="20"/>
                <w:szCs w:val="20"/>
              </w:rPr>
              <w:t xml:space="preserve">Full-Time, Permanent</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About the Role</w:t>
      </w:r>
    </w:p>
    <w:p>
      <w:pPr>
        <w:spacing w:before="60" w:after="60"/>
      </w:pPr>
      <w:r>
        <w:rPr>
          <w:rFonts w:ascii="Arial" w:cs="Arial" w:eastAsia="Arial" w:hAnsi="Arial"/>
          <w:sz w:val="21"/>
          <w:szCs w:val="21"/>
        </w:rPr>
        <w:t xml:space="preserve">We are seeking an experienced Model Validator at VP level to independently lead validations across a diverse portfolio of quantitative models. You will take full ownership of the validation lifecycle — from scoping and technical analysis through to findings presentation and remediation tracking — while also contributing to MRM framework development and regulatory engagement.</w:t>
      </w:r>
    </w:p>
    <w:p>
      <w:pPr>
        <w:spacing w:before="60" w:after="60"/>
      </w:pPr>
      <w:r>
        <w:t xml:space="preserve"/>
      </w:r>
    </w:p>
    <w:p>
      <w:pPr>
        <w:spacing w:before="60" w:after="60"/>
      </w:pPr>
      <w:r>
        <w:rPr>
          <w:rFonts w:ascii="Arial" w:cs="Arial" w:eastAsia="Arial" w:hAnsi="Arial"/>
          <w:sz w:val="21"/>
          <w:szCs w:val="21"/>
        </w:rPr>
        <w:t xml:space="preserve">This role requires strong independent judgement, hands-on quantitative expertise, and the ability to challenge model owners constructively across all key model risk domains. You will work closely with senior risk managers, model developers, and regulators, with clear visibility to Director-level progression.</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Key Responsibilities</w:t>
      </w:r>
    </w:p>
    <w:p>
      <w:pPr>
        <w:spacing w:before="200" w:after="80"/>
      </w:pPr>
      <w:r>
        <w:rPr>
          <w:rFonts w:ascii="Arial" w:cs="Arial" w:eastAsia="Arial" w:hAnsi="Arial"/>
          <w:b/>
          <w:bCs/>
          <w:color w:val="2E6DA4"/>
          <w:sz w:val="23"/>
          <w:szCs w:val="23"/>
        </w:rPr>
        <w:t xml:space="preserve">Independent Model Validation</w:t>
      </w:r>
    </w:p>
    <w:p>
      <w:pPr>
        <w:pStyle w:val="ListParagraph"/>
        <w:numPr>
          <w:ilvl w:val="0"/>
          <w:numId w:val="2"/>
        </w:numPr>
        <w:spacing w:before="36" w:after="36"/>
      </w:pPr>
      <w:r>
        <w:rPr>
          <w:rFonts w:ascii="Arial" w:cs="Arial" w:eastAsia="Arial" w:hAnsi="Arial"/>
          <w:sz w:val="21"/>
          <w:szCs w:val="21"/>
        </w:rPr>
        <w:t xml:space="preserve">Own end-to-end validation of credit risk, market risk, pricing, behavioural, and ML models with limited supervision.</w:t>
      </w:r>
    </w:p>
    <w:p>
      <w:pPr>
        <w:pStyle w:val="ListParagraph"/>
        <w:numPr>
          <w:ilvl w:val="0"/>
          <w:numId w:val="2"/>
        </w:numPr>
        <w:spacing w:before="36" w:after="36"/>
      </w:pPr>
      <w:r>
        <w:rPr>
          <w:rFonts w:ascii="Arial" w:cs="Arial" w:eastAsia="Arial" w:hAnsi="Arial"/>
          <w:sz w:val="21"/>
          <w:szCs w:val="21"/>
        </w:rPr>
        <w:t xml:space="preserve">Define validation scope and testing strategy; identify key model risks and tailor testing plans accordingly.</w:t>
      </w:r>
    </w:p>
    <w:p>
      <w:pPr>
        <w:pStyle w:val="ListParagraph"/>
        <w:numPr>
          <w:ilvl w:val="0"/>
          <w:numId w:val="2"/>
        </w:numPr>
        <w:spacing w:before="36" w:after="36"/>
      </w:pPr>
      <w:r>
        <w:rPr>
          <w:rFonts w:ascii="Arial" w:cs="Arial" w:eastAsia="Arial" w:hAnsi="Arial"/>
          <w:sz w:val="21"/>
          <w:szCs w:val="21"/>
        </w:rPr>
        <w:t xml:space="preserve">Conduct rigorous conceptual soundness reviews, assessing theoretical underpinnings, assumptions, and limitations.</w:t>
      </w:r>
    </w:p>
    <w:p>
      <w:pPr>
        <w:pStyle w:val="ListParagraph"/>
        <w:numPr>
          <w:ilvl w:val="0"/>
          <w:numId w:val="2"/>
        </w:numPr>
        <w:spacing w:before="36" w:after="36"/>
      </w:pPr>
      <w:r>
        <w:rPr>
          <w:rFonts w:ascii="Arial" w:cs="Arial" w:eastAsia="Arial" w:hAnsi="Arial"/>
          <w:sz w:val="21"/>
          <w:szCs w:val="21"/>
        </w:rPr>
        <w:t xml:space="preserve">Execute and document quantitative testing: backtesting, benchmarking against challenger models, sensitivity and scenario analysis, and statistical performance testing.</w:t>
      </w:r>
    </w:p>
    <w:p>
      <w:pPr>
        <w:pStyle w:val="ListParagraph"/>
        <w:numPr>
          <w:ilvl w:val="0"/>
          <w:numId w:val="2"/>
        </w:numPr>
        <w:spacing w:before="36" w:after="36"/>
      </w:pPr>
      <w:r>
        <w:rPr>
          <w:rFonts w:ascii="Arial" w:cs="Arial" w:eastAsia="Arial" w:hAnsi="Arial"/>
          <w:sz w:val="21"/>
          <w:szCs w:val="21"/>
        </w:rPr>
        <w:t xml:space="preserve">Produce high-quality validation reports and assign model risk ratings, clearly communicating findings and recommended conditions/restrictions.</w:t>
      </w:r>
    </w:p>
    <w:p>
      <w:pPr>
        <w:spacing w:before="60" w:after="60"/>
      </w:pPr>
      <w:r>
        <w:t xml:space="preserve"/>
      </w:r>
    </w:p>
    <w:p>
      <w:pPr>
        <w:spacing w:before="200" w:after="80"/>
      </w:pPr>
      <w:r>
        <w:rPr>
          <w:rFonts w:ascii="Arial" w:cs="Arial" w:eastAsia="Arial" w:hAnsi="Arial"/>
          <w:b/>
          <w:bCs/>
          <w:color w:val="2E6DA4"/>
          <w:sz w:val="23"/>
          <w:szCs w:val="23"/>
        </w:rPr>
        <w:t xml:space="preserve">Regulatory &amp; Framework Contribution</w:t>
      </w:r>
    </w:p>
    <w:p>
      <w:pPr>
        <w:pStyle w:val="ListParagraph"/>
        <w:numPr>
          <w:ilvl w:val="0"/>
          <w:numId w:val="2"/>
        </w:numPr>
        <w:spacing w:before="36" w:after="36"/>
      </w:pPr>
      <w:r>
        <w:rPr>
          <w:rFonts w:ascii="Arial" w:cs="Arial" w:eastAsia="Arial" w:hAnsi="Arial"/>
          <w:sz w:val="21"/>
          <w:szCs w:val="21"/>
        </w:rPr>
        <w:t xml:space="preserve">Apply and interpret PRA SS1/23, EBA model risk guidelines, SR 11-7, Basel IV, and IFRS 9 requirements in the context of specific validation assessments.</w:t>
      </w:r>
    </w:p>
    <w:p>
      <w:pPr>
        <w:pStyle w:val="ListParagraph"/>
        <w:numPr>
          <w:ilvl w:val="0"/>
          <w:numId w:val="2"/>
        </w:numPr>
        <w:spacing w:before="36" w:after="36"/>
      </w:pPr>
      <w:r>
        <w:rPr>
          <w:rFonts w:ascii="Arial" w:cs="Arial" w:eastAsia="Arial" w:hAnsi="Arial"/>
          <w:sz w:val="21"/>
          <w:szCs w:val="21"/>
        </w:rPr>
        <w:t xml:space="preserve">Support preparation for regulatory reviews and supervisory visits; draft responses to model-related queries from the PRA/FCA.</w:t>
      </w:r>
    </w:p>
    <w:p>
      <w:pPr>
        <w:pStyle w:val="ListParagraph"/>
        <w:numPr>
          <w:ilvl w:val="0"/>
          <w:numId w:val="2"/>
        </w:numPr>
        <w:spacing w:before="36" w:after="36"/>
      </w:pPr>
      <w:r>
        <w:rPr>
          <w:rFonts w:ascii="Arial" w:cs="Arial" w:eastAsia="Arial" w:hAnsi="Arial"/>
          <w:sz w:val="21"/>
          <w:szCs w:val="21"/>
        </w:rPr>
        <w:t xml:space="preserve">Contribute to the development of MRM policies, validation standards, and internal methodologies.</w:t>
      </w:r>
    </w:p>
    <w:p>
      <w:pPr>
        <w:pStyle w:val="ListParagraph"/>
        <w:numPr>
          <w:ilvl w:val="0"/>
          <w:numId w:val="2"/>
        </w:numPr>
        <w:spacing w:before="36" w:after="36"/>
      </w:pPr>
      <w:r>
        <w:rPr>
          <w:rFonts w:ascii="Arial" w:cs="Arial" w:eastAsia="Arial" w:hAnsi="Arial"/>
          <w:sz w:val="21"/>
          <w:szCs w:val="21"/>
        </w:rPr>
        <w:t xml:space="preserve">Track and oversee remediation of model findings, escalating material risks to the Head of Model Risk.</w:t>
      </w:r>
    </w:p>
    <w:p>
      <w:pPr>
        <w:spacing w:before="60" w:after="60"/>
      </w:pPr>
      <w:r>
        <w:t xml:space="preserve"/>
      </w:r>
    </w:p>
    <w:p>
      <w:pPr>
        <w:spacing w:before="200" w:after="80"/>
      </w:pPr>
      <w:r>
        <w:rPr>
          <w:rFonts w:ascii="Arial" w:cs="Arial" w:eastAsia="Arial" w:hAnsi="Arial"/>
          <w:b/>
          <w:bCs/>
          <w:color w:val="2E6DA4"/>
          <w:sz w:val="23"/>
          <w:szCs w:val="23"/>
        </w:rPr>
        <w:t xml:space="preserve">Stakeholder Management</w:t>
      </w:r>
    </w:p>
    <w:p>
      <w:pPr>
        <w:pStyle w:val="ListParagraph"/>
        <w:numPr>
          <w:ilvl w:val="0"/>
          <w:numId w:val="2"/>
        </w:numPr>
        <w:spacing w:before="36" w:after="36"/>
      </w:pPr>
      <w:r>
        <w:rPr>
          <w:rFonts w:ascii="Arial" w:cs="Arial" w:eastAsia="Arial" w:hAnsi="Arial"/>
          <w:sz w:val="21"/>
          <w:szCs w:val="21"/>
        </w:rPr>
        <w:t xml:space="preserve">Lead technical discussions and challenge sessions with model development teams (Quants, Risk Analytics, Finance).</w:t>
      </w:r>
    </w:p>
    <w:p>
      <w:pPr>
        <w:pStyle w:val="ListParagraph"/>
        <w:numPr>
          <w:ilvl w:val="0"/>
          <w:numId w:val="2"/>
        </w:numPr>
        <w:spacing w:before="36" w:after="36"/>
      </w:pPr>
      <w:r>
        <w:rPr>
          <w:rFonts w:ascii="Arial" w:cs="Arial" w:eastAsia="Arial" w:hAnsi="Arial"/>
          <w:sz w:val="21"/>
          <w:szCs w:val="21"/>
        </w:rPr>
        <w:t xml:space="preserve">Present validation conclusions to model risk committees, CRO forums, and senior management with confidence and clarity.</w:t>
      </w:r>
    </w:p>
    <w:p>
      <w:pPr>
        <w:pStyle w:val="ListParagraph"/>
        <w:numPr>
          <w:ilvl w:val="0"/>
          <w:numId w:val="2"/>
        </w:numPr>
        <w:spacing w:before="36" w:after="36"/>
      </w:pPr>
      <w:r>
        <w:rPr>
          <w:rFonts w:ascii="Arial" w:cs="Arial" w:eastAsia="Arial" w:hAnsi="Arial"/>
          <w:sz w:val="21"/>
          <w:szCs w:val="21"/>
        </w:rPr>
        <w:t xml:space="preserve">Build constructive working relationships with model owners while maintaining rigorous independence.</w:t>
      </w:r>
    </w:p>
    <w:p>
      <w:pPr>
        <w:pStyle w:val="ListParagraph"/>
        <w:numPr>
          <w:ilvl w:val="0"/>
          <w:numId w:val="2"/>
        </w:numPr>
        <w:spacing w:before="36" w:after="36"/>
      </w:pPr>
      <w:r>
        <w:rPr>
          <w:rFonts w:ascii="Arial" w:cs="Arial" w:eastAsia="Arial" w:hAnsi="Arial"/>
          <w:sz w:val="21"/>
          <w:szCs w:val="21"/>
        </w:rPr>
        <w:t xml:space="preserve">Provide guidance and informal mentoring to junior validators.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Model Validation Skills &amp; Technical Knowledge</w:t>
      </w:r>
    </w:p>
    <w:p>
      <w:pPr>
        <w:spacing w:before="60" w:after="60"/>
      </w:pPr>
      <w:r>
        <w:rPr>
          <w:rFonts w:ascii="Arial" w:cs="Arial" w:eastAsia="Arial" w:hAnsi="Arial"/>
          <w:sz w:val="21"/>
          <w:szCs w:val="21"/>
        </w:rPr>
        <w:t xml:space="preserve">Validators at VP level are expected to hold strong working knowledge across multiple model domains and lead validations independently in at least two. The following describes the depth of knowledge expected across all eight model areas in scope for the MRM team.</w:t>
      </w:r>
    </w:p>
    <w:p>
      <w:pPr>
        <w:spacing w:before="60" w:after="60"/>
      </w:pPr>
      <w:r>
        <w:t xml:space="preserve"/>
      </w:r>
    </w:p>
    <w:p>
      <w:pPr>
        <w:spacing w:before="200" w:after="80"/>
      </w:pPr>
      <w:r>
        <w:rPr>
          <w:rFonts w:ascii="Arial" w:cs="Arial" w:eastAsia="Arial" w:hAnsi="Arial"/>
          <w:b/>
          <w:bCs/>
          <w:color w:val="2E6DA4"/>
          <w:sz w:val="23"/>
          <w:szCs w:val="23"/>
        </w:rPr>
        <w:t xml:space="preserve">1. Credit Risk Models (PD / LGD / EAD / IFRS 9)</w:t>
      </w:r>
    </w:p>
    <w:p>
      <w:pPr>
        <w:pStyle w:val="ListParagraph"/>
        <w:numPr>
          <w:ilvl w:val="0"/>
          <w:numId w:val="2"/>
        </w:numPr>
        <w:spacing w:before="36" w:after="36"/>
      </w:pPr>
      <w:r>
        <w:rPr>
          <w:rFonts w:ascii="Arial" w:cs="Arial" w:eastAsia="Arial" w:hAnsi="Arial"/>
          <w:sz w:val="21"/>
          <w:szCs w:val="21"/>
        </w:rPr>
        <w:t xml:space="preserve">Strong command of IRB model architecture: PD scorecards, LGD workout models, EAD conversion factor models, and their calibration to long-run averages.</w:t>
      </w:r>
    </w:p>
    <w:p>
      <w:pPr>
        <w:pStyle w:val="ListParagraph"/>
        <w:numPr>
          <w:ilvl w:val="0"/>
          <w:numId w:val="2"/>
        </w:numPr>
        <w:spacing w:before="36" w:after="36"/>
      </w:pPr>
      <w:r>
        <w:rPr>
          <w:rFonts w:ascii="Arial" w:cs="Arial" w:eastAsia="Arial" w:hAnsi="Arial"/>
          <w:sz w:val="21"/>
          <w:szCs w:val="21"/>
        </w:rPr>
        <w:t xml:space="preserve">Hands-on experience validating IFRS 9 ECL models: PiT PD term structures, forward-looking adjustments (FLAs), staging logic (S1/S2/S3), and post-model overlays.</w:t>
      </w:r>
    </w:p>
    <w:p>
      <w:pPr>
        <w:pStyle w:val="ListParagraph"/>
        <w:numPr>
          <w:ilvl w:val="0"/>
          <w:numId w:val="2"/>
        </w:numPr>
        <w:spacing w:before="36" w:after="36"/>
      </w:pPr>
      <w:r>
        <w:rPr>
          <w:rFonts w:ascii="Arial" w:cs="Arial" w:eastAsia="Arial" w:hAnsi="Arial"/>
          <w:sz w:val="21"/>
          <w:szCs w:val="21"/>
        </w:rPr>
        <w:t xml:space="preserve">Ability to design and execute performance tests: AUC/ROC, KS, Gini, PSI, Hosmer-Lemeshow, and calibration tests, with informed interpretation of results.</w:t>
      </w:r>
    </w:p>
    <w:p>
      <w:pPr>
        <w:pStyle w:val="ListParagraph"/>
        <w:numPr>
          <w:ilvl w:val="0"/>
          <w:numId w:val="2"/>
        </w:numPr>
        <w:spacing w:before="36" w:after="36"/>
      </w:pPr>
      <w:r>
        <w:rPr>
          <w:rFonts w:ascii="Arial" w:cs="Arial" w:eastAsia="Arial" w:hAnsi="Arial"/>
          <w:sz w:val="21"/>
          <w:szCs w:val="21"/>
        </w:rPr>
        <w:t xml:space="preserve">Understanding of Basel IV implications for IRB model usage: output floor, removal of A-IRB for certain exposures, and revised EAD estimation requirements.</w:t>
      </w:r>
    </w:p>
    <w:p>
      <w:pPr>
        <w:pStyle w:val="ListParagraph"/>
        <w:numPr>
          <w:ilvl w:val="0"/>
          <w:numId w:val="2"/>
        </w:numPr>
        <w:spacing w:before="36" w:after="36"/>
      </w:pPr>
      <w:r>
        <w:rPr>
          <w:rFonts w:ascii="Arial" w:cs="Arial" w:eastAsia="Arial" w:hAnsi="Arial"/>
          <w:sz w:val="21"/>
          <w:szCs w:val="21"/>
        </w:rPr>
        <w:t xml:space="preserve">Experience reviewing model documentation for regulatory submission under CRR/PRA rules.</w:t>
      </w:r>
    </w:p>
    <w:p>
      <w:pPr>
        <w:spacing w:before="60" w:after="60"/>
      </w:pPr>
      <w:r>
        <w:t xml:space="preserve"/>
      </w:r>
    </w:p>
    <w:p>
      <w:pPr>
        <w:spacing w:before="200" w:after="80"/>
      </w:pPr>
      <w:r>
        <w:rPr>
          <w:rFonts w:ascii="Arial" w:cs="Arial" w:eastAsia="Arial" w:hAnsi="Arial"/>
          <w:b/>
          <w:bCs/>
          <w:color w:val="2E6DA4"/>
          <w:sz w:val="23"/>
          <w:szCs w:val="23"/>
        </w:rPr>
        <w:t xml:space="preserve">2. Market Risk Models (VaR / ES / Stress Testing)</w:t>
      </w:r>
    </w:p>
    <w:p>
      <w:pPr>
        <w:pStyle w:val="ListParagraph"/>
        <w:numPr>
          <w:ilvl w:val="0"/>
          <w:numId w:val="2"/>
        </w:numPr>
        <w:spacing w:before="36" w:after="36"/>
      </w:pPr>
      <w:r>
        <w:rPr>
          <w:rFonts w:ascii="Arial" w:cs="Arial" w:eastAsia="Arial" w:hAnsi="Arial"/>
          <w:sz w:val="21"/>
          <w:szCs w:val="21"/>
        </w:rPr>
        <w:t xml:space="preserve">In-depth knowledge of VaR and Expected Shortfall methodologies: historical simulation, parametric (delta-normal), and Monte Carlo; understanding of tail risk and model risk embedded in each approach.</w:t>
      </w:r>
    </w:p>
    <w:p>
      <w:pPr>
        <w:pStyle w:val="ListParagraph"/>
        <w:numPr>
          <w:ilvl w:val="0"/>
          <w:numId w:val="2"/>
        </w:numPr>
        <w:spacing w:before="36" w:after="36"/>
      </w:pPr>
      <w:r>
        <w:rPr>
          <w:rFonts w:ascii="Arial" w:cs="Arial" w:eastAsia="Arial" w:hAnsi="Arial"/>
          <w:sz w:val="21"/>
          <w:szCs w:val="21"/>
        </w:rPr>
        <w:t xml:space="preserve">Practical experience with backtesting: Basel traffic light framework, conditional coverage tests (Christoffersen), and PLA test under FRTB IMA.</w:t>
      </w:r>
    </w:p>
    <w:p>
      <w:pPr>
        <w:pStyle w:val="ListParagraph"/>
        <w:numPr>
          <w:ilvl w:val="0"/>
          <w:numId w:val="2"/>
        </w:numPr>
        <w:spacing w:before="36" w:after="36"/>
      </w:pPr>
      <w:r>
        <w:rPr>
          <w:rFonts w:ascii="Arial" w:cs="Arial" w:eastAsia="Arial" w:hAnsi="Arial"/>
          <w:sz w:val="21"/>
          <w:szCs w:val="21"/>
        </w:rPr>
        <w:t xml:space="preserve">Ability to validate aggregation methods, correlation assumptions, and liquidity horizons under FRTB SA and IMA frameworks.</w:t>
      </w:r>
    </w:p>
    <w:p>
      <w:pPr>
        <w:pStyle w:val="ListParagraph"/>
        <w:numPr>
          <w:ilvl w:val="0"/>
          <w:numId w:val="2"/>
        </w:numPr>
        <w:spacing w:before="36" w:after="36"/>
      </w:pPr>
      <w:r>
        <w:rPr>
          <w:rFonts w:ascii="Arial" w:cs="Arial" w:eastAsia="Arial" w:hAnsi="Arial"/>
          <w:sz w:val="21"/>
          <w:szCs w:val="21"/>
        </w:rPr>
        <w:t xml:space="preserve">Experience assessing stressed VaR / ES calibration, including the selection of stress periods and their justification.</w:t>
      </w:r>
    </w:p>
    <w:p>
      <w:pPr>
        <w:pStyle w:val="ListParagraph"/>
        <w:numPr>
          <w:ilvl w:val="0"/>
          <w:numId w:val="2"/>
        </w:numPr>
        <w:spacing w:before="36" w:after="36"/>
      </w:pPr>
      <w:r>
        <w:rPr>
          <w:rFonts w:ascii="Arial" w:cs="Arial" w:eastAsia="Arial" w:hAnsi="Arial"/>
          <w:sz w:val="21"/>
          <w:szCs w:val="21"/>
        </w:rPr>
        <w:t xml:space="preserve">Familiarity with regulatory stress testing models (PRA/EBA annual exercises) and internal stress testing frameworks.</w:t>
      </w:r>
    </w:p>
    <w:p>
      <w:pPr>
        <w:spacing w:before="60" w:after="60"/>
      </w:pPr>
      <w:r>
        <w:t xml:space="preserve"/>
      </w:r>
    </w:p>
    <w:p>
      <w:pPr>
        <w:spacing w:before="200" w:after="80"/>
      </w:pPr>
      <w:r>
        <w:rPr>
          <w:rFonts w:ascii="Arial" w:cs="Arial" w:eastAsia="Arial" w:hAnsi="Arial"/>
          <w:b/>
          <w:bCs/>
          <w:color w:val="2E6DA4"/>
          <w:sz w:val="23"/>
          <w:szCs w:val="23"/>
        </w:rPr>
        <w:t xml:space="preserve">3. Pricing Models (Derivatives &amp; Structured Products)</w:t>
      </w:r>
    </w:p>
    <w:p>
      <w:pPr>
        <w:pStyle w:val="ListParagraph"/>
        <w:numPr>
          <w:ilvl w:val="0"/>
          <w:numId w:val="2"/>
        </w:numPr>
        <w:spacing w:before="36" w:after="36"/>
      </w:pPr>
      <w:r>
        <w:rPr>
          <w:rFonts w:ascii="Arial" w:cs="Arial" w:eastAsia="Arial" w:hAnsi="Arial"/>
          <w:sz w:val="21"/>
          <w:szCs w:val="21"/>
        </w:rPr>
        <w:t xml:space="preserve">Strong theoretical foundation in derivatives pricing: risk-neutral valuation, no-arbitrage conditions, and the role of numeraires.</w:t>
      </w:r>
    </w:p>
    <w:p>
      <w:pPr>
        <w:pStyle w:val="ListParagraph"/>
        <w:numPr>
          <w:ilvl w:val="0"/>
          <w:numId w:val="2"/>
        </w:numPr>
        <w:spacing w:before="36" w:after="36"/>
      </w:pPr>
      <w:r>
        <w:rPr>
          <w:rFonts w:ascii="Arial" w:cs="Arial" w:eastAsia="Arial" w:hAnsi="Arial"/>
          <w:sz w:val="21"/>
          <w:szCs w:val="21"/>
        </w:rPr>
        <w:t xml:space="preserve">Ability to validate interest rate models (Hull-White 1F/2F, LMM/BGM, Vasicek) including calibration to market instruments and assessment of mean reversion and volatility parameters.</w:t>
      </w:r>
    </w:p>
    <w:p>
      <w:pPr>
        <w:pStyle w:val="ListParagraph"/>
        <w:numPr>
          <w:ilvl w:val="0"/>
          <w:numId w:val="2"/>
        </w:numPr>
        <w:spacing w:before="36" w:after="36"/>
      </w:pPr>
      <w:r>
        <w:rPr>
          <w:rFonts w:ascii="Arial" w:cs="Arial" w:eastAsia="Arial" w:hAnsi="Arial"/>
          <w:sz w:val="21"/>
          <w:szCs w:val="21"/>
        </w:rPr>
        <w:t xml:space="preserve">Experience with equity and FX model validation: local volatility (Dupire), stochastic volatility (Heston, SABR), and jumps (Merton, Kou); assessment of smile dynamics and hedging performance.</w:t>
      </w:r>
    </w:p>
    <w:p>
      <w:pPr>
        <w:pStyle w:val="ListParagraph"/>
        <w:numPr>
          <w:ilvl w:val="0"/>
          <w:numId w:val="2"/>
        </w:numPr>
        <w:spacing w:before="36" w:after="36"/>
      </w:pPr>
      <w:r>
        <w:rPr>
          <w:rFonts w:ascii="Arial" w:cs="Arial" w:eastAsia="Arial" w:hAnsi="Arial"/>
          <w:sz w:val="21"/>
          <w:szCs w:val="21"/>
        </w:rPr>
        <w:t xml:space="preserve">Understanding of structured credit product pricing: CDO/CLO tranche models, copula approaches (Gaussian, t-copula), and base correlation surfaces.</w:t>
      </w:r>
    </w:p>
    <w:p>
      <w:pPr>
        <w:pStyle w:val="ListParagraph"/>
        <w:numPr>
          <w:ilvl w:val="0"/>
          <w:numId w:val="2"/>
        </w:numPr>
        <w:spacing w:before="36" w:after="36"/>
      </w:pPr>
      <w:r>
        <w:rPr>
          <w:rFonts w:ascii="Arial" w:cs="Arial" w:eastAsia="Arial" w:hAnsi="Arial"/>
          <w:sz w:val="21"/>
          <w:szCs w:val="21"/>
        </w:rPr>
        <w:t xml:space="preserve">Ability to validate P&amp;L explain frameworks and assess model vs. market discrepancies.</w:t>
      </w:r>
    </w:p>
    <w:p>
      <w:pPr>
        <w:spacing w:before="60" w:after="60"/>
      </w:pPr>
      <w:r>
        <w:t xml:space="preserve"/>
      </w:r>
    </w:p>
    <w:p>
      <w:pPr>
        <w:spacing w:before="200" w:after="80"/>
      </w:pPr>
      <w:r>
        <w:rPr>
          <w:rFonts w:ascii="Arial" w:cs="Arial" w:eastAsia="Arial" w:hAnsi="Arial"/>
          <w:b/>
          <w:bCs/>
          <w:color w:val="2E6DA4"/>
          <w:sz w:val="23"/>
          <w:szCs w:val="23"/>
        </w:rPr>
        <w:t xml:space="preserve">4. Credit Trading Models</w:t>
      </w:r>
    </w:p>
    <w:p>
      <w:pPr>
        <w:pStyle w:val="ListParagraph"/>
        <w:numPr>
          <w:ilvl w:val="0"/>
          <w:numId w:val="2"/>
        </w:numPr>
        <w:spacing w:before="36" w:after="36"/>
      </w:pPr>
      <w:r>
        <w:rPr>
          <w:rFonts w:ascii="Arial" w:cs="Arial" w:eastAsia="Arial" w:hAnsi="Arial"/>
          <w:sz w:val="21"/>
          <w:szCs w:val="21"/>
        </w:rPr>
        <w:t xml:space="preserve">Solid experience validating credit spread models: single-name CDS pricing, credit index (CDX/iTraxx) models, and basis relationships.</w:t>
      </w:r>
    </w:p>
    <w:p>
      <w:pPr>
        <w:pStyle w:val="ListParagraph"/>
        <w:numPr>
          <w:ilvl w:val="0"/>
          <w:numId w:val="2"/>
        </w:numPr>
        <w:spacing w:before="36" w:after="36"/>
      </w:pPr>
      <w:r>
        <w:rPr>
          <w:rFonts w:ascii="Arial" w:cs="Arial" w:eastAsia="Arial" w:hAnsi="Arial"/>
          <w:sz w:val="21"/>
          <w:szCs w:val="21"/>
        </w:rPr>
        <w:t xml:space="preserve">Understanding of credit curve construction: bootstrapping from CDS spreads, recovery rate assumptions, and hazard rate models.</w:t>
      </w:r>
    </w:p>
    <w:p>
      <w:pPr>
        <w:pStyle w:val="ListParagraph"/>
        <w:numPr>
          <w:ilvl w:val="0"/>
          <w:numId w:val="2"/>
        </w:numPr>
        <w:spacing w:before="36" w:after="36"/>
      </w:pPr>
      <w:r>
        <w:rPr>
          <w:rFonts w:ascii="Arial" w:cs="Arial" w:eastAsia="Arial" w:hAnsi="Arial"/>
          <w:sz w:val="21"/>
          <w:szCs w:val="21"/>
        </w:rPr>
        <w:t xml:space="preserve">Hands-on experience validating Counterparty Credit Risk (CCR) models: PFE profiles, EPE/EEPE calculation, netting and collateral modelling under ISDA/CSA agreements.</w:t>
      </w:r>
    </w:p>
    <w:p>
      <w:pPr>
        <w:pStyle w:val="ListParagraph"/>
        <w:numPr>
          <w:ilvl w:val="0"/>
          <w:numId w:val="2"/>
        </w:numPr>
        <w:spacing w:before="36" w:after="36"/>
      </w:pPr>
      <w:r>
        <w:rPr>
          <w:rFonts w:ascii="Arial" w:cs="Arial" w:eastAsia="Arial" w:hAnsi="Arial"/>
          <w:sz w:val="21"/>
          <w:szCs w:val="21"/>
        </w:rPr>
        <w:t xml:space="preserve">Ability to assess CVA, DVA, and FVA model adequacy: simulation framework, wrong-way risk identification, and credit exposure aggregation.</w:t>
      </w:r>
    </w:p>
    <w:p>
      <w:pPr>
        <w:pStyle w:val="ListParagraph"/>
        <w:numPr>
          <w:ilvl w:val="0"/>
          <w:numId w:val="2"/>
        </w:numPr>
        <w:spacing w:before="36" w:after="36"/>
      </w:pPr>
      <w:r>
        <w:rPr>
          <w:rFonts w:ascii="Arial" w:cs="Arial" w:eastAsia="Arial" w:hAnsi="Arial"/>
          <w:sz w:val="21"/>
          <w:szCs w:val="21"/>
        </w:rPr>
        <w:t xml:space="preserve">Understanding of capital implications under SA-CCR and IMM approval requirements.</w:t>
      </w:r>
    </w:p>
    <w:p>
      <w:pPr>
        <w:spacing w:before="60" w:after="60"/>
      </w:pPr>
      <w:r>
        <w:t xml:space="preserve"/>
      </w:r>
    </w:p>
    <w:p>
      <w:pPr>
        <w:spacing w:before="200" w:after="80"/>
      </w:pPr>
      <w:r>
        <w:rPr>
          <w:rFonts w:ascii="Arial" w:cs="Arial" w:eastAsia="Arial" w:hAnsi="Arial"/>
          <w:b/>
          <w:bCs/>
          <w:color w:val="2E6DA4"/>
          <w:sz w:val="23"/>
          <w:szCs w:val="23"/>
        </w:rPr>
        <w:t xml:space="preserve">5. Behavioural &amp; ALM Models</w:t>
      </w:r>
    </w:p>
    <w:p>
      <w:pPr>
        <w:pStyle w:val="ListParagraph"/>
        <w:numPr>
          <w:ilvl w:val="0"/>
          <w:numId w:val="2"/>
        </w:numPr>
        <w:spacing w:before="36" w:after="36"/>
      </w:pPr>
      <w:r>
        <w:rPr>
          <w:rFonts w:ascii="Arial" w:cs="Arial" w:eastAsia="Arial" w:hAnsi="Arial"/>
          <w:sz w:val="21"/>
          <w:szCs w:val="21"/>
        </w:rPr>
        <w:t xml:space="preserve">Experience validating non-maturity deposit (NMD) models: behavioural maturity assumptions, core vs. non-core decomposition, and interest rate sensitivity.</w:t>
      </w:r>
    </w:p>
    <w:p>
      <w:pPr>
        <w:pStyle w:val="ListParagraph"/>
        <w:numPr>
          <w:ilvl w:val="0"/>
          <w:numId w:val="2"/>
        </w:numPr>
        <w:spacing w:before="36" w:after="36"/>
      </w:pPr>
      <w:r>
        <w:rPr>
          <w:rFonts w:ascii="Arial" w:cs="Arial" w:eastAsia="Arial" w:hAnsi="Arial"/>
          <w:sz w:val="21"/>
          <w:szCs w:val="21"/>
        </w:rPr>
        <w:t xml:space="preserve">Ability to assess mortgage prepayment and pipeline models: CPR estimation, rate sensitivity, and the impact of competitive and behavioural factors.</w:t>
      </w:r>
    </w:p>
    <w:p>
      <w:pPr>
        <w:pStyle w:val="ListParagraph"/>
        <w:numPr>
          <w:ilvl w:val="0"/>
          <w:numId w:val="2"/>
        </w:numPr>
        <w:spacing w:before="36" w:after="36"/>
      </w:pPr>
      <w:r>
        <w:rPr>
          <w:rFonts w:ascii="Arial" w:cs="Arial" w:eastAsia="Arial" w:hAnsi="Arial"/>
          <w:sz w:val="21"/>
          <w:szCs w:val="21"/>
        </w:rPr>
        <w:t xml:space="preserve">Understanding of IRRBB measurement: NII sensitivity, EVE sensitivity under EBA IRRBB guidelines, and the assessment of standardised vs. internal model approaches.</w:t>
      </w:r>
    </w:p>
    <w:p>
      <w:pPr>
        <w:pStyle w:val="ListParagraph"/>
        <w:numPr>
          <w:ilvl w:val="0"/>
          <w:numId w:val="2"/>
        </w:numPr>
        <w:spacing w:before="36" w:after="36"/>
      </w:pPr>
      <w:r>
        <w:rPr>
          <w:rFonts w:ascii="Arial" w:cs="Arial" w:eastAsia="Arial" w:hAnsi="Arial"/>
          <w:sz w:val="21"/>
          <w:szCs w:val="21"/>
        </w:rPr>
        <w:t xml:space="preserve">Familiarity with fund transfer pricing (FTP) models and how behavioural assumptions flow into internal pricing and ALM strategy.</w:t>
      </w:r>
    </w:p>
    <w:p>
      <w:pPr>
        <w:spacing w:before="60" w:after="60"/>
      </w:pPr>
      <w:r>
        <w:t xml:space="preserve"/>
      </w:r>
    </w:p>
    <w:p>
      <w:pPr>
        <w:spacing w:before="200" w:after="80"/>
      </w:pPr>
      <w:r>
        <w:rPr>
          <w:rFonts w:ascii="Arial" w:cs="Arial" w:eastAsia="Arial" w:hAnsi="Arial"/>
          <w:b/>
          <w:bCs/>
          <w:color w:val="2E6DA4"/>
          <w:sz w:val="23"/>
          <w:szCs w:val="23"/>
        </w:rPr>
        <w:t xml:space="preserve">6. Operational Risk Models</w:t>
      </w:r>
    </w:p>
    <w:p>
      <w:pPr>
        <w:pStyle w:val="ListParagraph"/>
        <w:numPr>
          <w:ilvl w:val="0"/>
          <w:numId w:val="2"/>
        </w:numPr>
        <w:spacing w:before="36" w:after="36"/>
      </w:pPr>
      <w:r>
        <w:rPr>
          <w:rFonts w:ascii="Arial" w:cs="Arial" w:eastAsia="Arial" w:hAnsi="Arial"/>
          <w:sz w:val="21"/>
          <w:szCs w:val="21"/>
        </w:rPr>
        <w:t xml:space="preserve">Experience reviewing Loss Distribution Approach (LDA) models: severity and frequency distribution fitting, dependence structures, and aggregate loss estimation.</w:t>
      </w:r>
    </w:p>
    <w:p>
      <w:pPr>
        <w:pStyle w:val="ListParagraph"/>
        <w:numPr>
          <w:ilvl w:val="0"/>
          <w:numId w:val="2"/>
        </w:numPr>
        <w:spacing w:before="36" w:after="36"/>
      </w:pPr>
      <w:r>
        <w:rPr>
          <w:rFonts w:ascii="Arial" w:cs="Arial" w:eastAsia="Arial" w:hAnsi="Arial"/>
          <w:sz w:val="21"/>
          <w:szCs w:val="21"/>
        </w:rPr>
        <w:t xml:space="preserve">Ability to assess scenario analysis integration into op risk capital and the plausibility of expert judgement inputs.</w:t>
      </w:r>
    </w:p>
    <w:p>
      <w:pPr>
        <w:pStyle w:val="ListParagraph"/>
        <w:numPr>
          <w:ilvl w:val="0"/>
          <w:numId w:val="2"/>
        </w:numPr>
        <w:spacing w:before="36" w:after="36"/>
      </w:pPr>
      <w:r>
        <w:rPr>
          <w:rFonts w:ascii="Arial" w:cs="Arial" w:eastAsia="Arial" w:hAnsi="Arial"/>
          <w:sz w:val="21"/>
          <w:szCs w:val="21"/>
        </w:rPr>
        <w:t xml:space="preserve">Understanding of the Basel IV Standardised Measurement Approach (SMA): Business Indicator Component (BIC), Internal Loss Multiplier (ILM), and transition considerations from AMA.</w:t>
      </w:r>
    </w:p>
    <w:p>
      <w:pPr>
        <w:pStyle w:val="ListParagraph"/>
        <w:numPr>
          <w:ilvl w:val="0"/>
          <w:numId w:val="2"/>
        </w:numPr>
        <w:spacing w:before="36" w:after="36"/>
      </w:pPr>
      <w:r>
        <w:rPr>
          <w:rFonts w:ascii="Arial" w:cs="Arial" w:eastAsia="Arial" w:hAnsi="Arial"/>
          <w:sz w:val="21"/>
          <w:szCs w:val="21"/>
        </w:rPr>
        <w:t xml:space="preserve">Awareness of emerging operational risks captured in models: cyber risk quantification, third-party risk, and conduct risk.</w:t>
      </w:r>
    </w:p>
    <w:p>
      <w:pPr>
        <w:spacing w:before="60" w:after="60"/>
      </w:pPr>
      <w:r>
        <w:t xml:space="preserve"/>
      </w:r>
    </w:p>
    <w:p>
      <w:pPr>
        <w:spacing w:before="200" w:after="80"/>
      </w:pPr>
      <w:r>
        <w:rPr>
          <w:rFonts w:ascii="Arial" w:cs="Arial" w:eastAsia="Arial" w:hAnsi="Arial"/>
          <w:b/>
          <w:bCs/>
          <w:color w:val="2E6DA4"/>
          <w:sz w:val="23"/>
          <w:szCs w:val="23"/>
        </w:rPr>
        <w:t xml:space="preserve">7. Climate &amp; ESG Risk Models</w:t>
      </w:r>
    </w:p>
    <w:p>
      <w:pPr>
        <w:pStyle w:val="ListParagraph"/>
        <w:numPr>
          <w:ilvl w:val="0"/>
          <w:numId w:val="2"/>
        </w:numPr>
        <w:spacing w:before="36" w:after="36"/>
      </w:pPr>
      <w:r>
        <w:rPr>
          <w:rFonts w:ascii="Arial" w:cs="Arial" w:eastAsia="Arial" w:hAnsi="Arial"/>
          <w:sz w:val="21"/>
          <w:szCs w:val="21"/>
        </w:rPr>
        <w:t xml:space="preserve">Ability to validate physical risk models: flood, heat stress, and supply chain disruption overlays applied to credit and real estate portfolios.</w:t>
      </w:r>
    </w:p>
    <w:p>
      <w:pPr>
        <w:pStyle w:val="ListParagraph"/>
        <w:numPr>
          <w:ilvl w:val="0"/>
          <w:numId w:val="2"/>
        </w:numPr>
        <w:spacing w:before="36" w:after="36"/>
      </w:pPr>
      <w:r>
        <w:rPr>
          <w:rFonts w:ascii="Arial" w:cs="Arial" w:eastAsia="Arial" w:hAnsi="Arial"/>
          <w:sz w:val="21"/>
          <w:szCs w:val="21"/>
        </w:rPr>
        <w:t xml:space="preserve">Experience assessing transition risk models: sector-level carbon cost pass-through, stranded asset identification, and NGFS scenario alignment.</w:t>
      </w:r>
    </w:p>
    <w:p>
      <w:pPr>
        <w:pStyle w:val="ListParagraph"/>
        <w:numPr>
          <w:ilvl w:val="0"/>
          <w:numId w:val="2"/>
        </w:numPr>
        <w:spacing w:before="36" w:after="36"/>
      </w:pPr>
      <w:r>
        <w:rPr>
          <w:rFonts w:ascii="Arial" w:cs="Arial" w:eastAsia="Arial" w:hAnsi="Arial"/>
          <w:sz w:val="21"/>
          <w:szCs w:val="21"/>
        </w:rPr>
        <w:t xml:space="preserve">Understanding of how climate risk is integrated into ECL and stress testing frameworks: satellite scenario variables, credit rating migration matrices, and sector adjustments.</w:t>
      </w:r>
    </w:p>
    <w:p>
      <w:pPr>
        <w:pStyle w:val="ListParagraph"/>
        <w:numPr>
          <w:ilvl w:val="0"/>
          <w:numId w:val="2"/>
        </w:numPr>
        <w:spacing w:before="36" w:after="36"/>
      </w:pPr>
      <w:r>
        <w:rPr>
          <w:rFonts w:ascii="Arial" w:cs="Arial" w:eastAsia="Arial" w:hAnsi="Arial"/>
          <w:sz w:val="21"/>
          <w:szCs w:val="21"/>
        </w:rPr>
        <w:t xml:space="preserve">Familiarity with ESG rating model validation: data sourcing, aggregation methodologies, and materiality weighting approaches.</w:t>
      </w:r>
    </w:p>
    <w:p>
      <w:pPr>
        <w:spacing w:before="60" w:after="60"/>
      </w:pPr>
      <w:r>
        <w:t xml:space="preserve"/>
      </w:r>
    </w:p>
    <w:p>
      <w:pPr>
        <w:spacing w:before="200" w:after="80"/>
      </w:pPr>
      <w:r>
        <w:rPr>
          <w:rFonts w:ascii="Arial" w:cs="Arial" w:eastAsia="Arial" w:hAnsi="Arial"/>
          <w:b/>
          <w:bCs/>
          <w:color w:val="2E6DA4"/>
          <w:sz w:val="23"/>
          <w:szCs w:val="23"/>
        </w:rPr>
        <w:t xml:space="preserve">8. Machine Learning &amp; AI Models in Risk</w:t>
      </w:r>
    </w:p>
    <w:p>
      <w:pPr>
        <w:pStyle w:val="ListParagraph"/>
        <w:numPr>
          <w:ilvl w:val="0"/>
          <w:numId w:val="2"/>
        </w:numPr>
        <w:spacing w:before="36" w:after="36"/>
      </w:pPr>
      <w:r>
        <w:rPr>
          <w:rFonts w:ascii="Arial" w:cs="Arial" w:eastAsia="Arial" w:hAnsi="Arial"/>
          <w:sz w:val="21"/>
          <w:szCs w:val="21"/>
        </w:rPr>
        <w:t xml:space="preserve">Hands-on experience validating ML models in credit and risk contexts: gradient boosting (XGBoost/LightGBM), logistic regression, random forests, and feedforward neural networks.</w:t>
      </w:r>
    </w:p>
    <w:p>
      <w:pPr>
        <w:pStyle w:val="ListParagraph"/>
        <w:numPr>
          <w:ilvl w:val="0"/>
          <w:numId w:val="2"/>
        </w:numPr>
        <w:spacing w:before="36" w:after="36"/>
      </w:pPr>
      <w:r>
        <w:rPr>
          <w:rFonts w:ascii="Arial" w:cs="Arial" w:eastAsia="Arial" w:hAnsi="Arial"/>
          <w:sz w:val="21"/>
          <w:szCs w:val="21"/>
        </w:rPr>
        <w:t xml:space="preserve">Ability to design and execute ML-specific validation tests: out-of-time (OOT) testing, feature importance stability, concept drift monitoring, and adversarial testing.</w:t>
      </w:r>
    </w:p>
    <w:p>
      <w:pPr>
        <w:pStyle w:val="ListParagraph"/>
        <w:numPr>
          <w:ilvl w:val="0"/>
          <w:numId w:val="2"/>
        </w:numPr>
        <w:spacing w:before="36" w:after="36"/>
      </w:pPr>
      <w:r>
        <w:rPr>
          <w:rFonts w:ascii="Arial" w:cs="Arial" w:eastAsia="Arial" w:hAnsi="Arial"/>
          <w:sz w:val="21"/>
          <w:szCs w:val="21"/>
        </w:rPr>
        <w:t xml:space="preserve">Experience applying explainability techniques (SHAP, LIME, PDP) and assessing their adequacy for regulatory and business purposes.</w:t>
      </w:r>
    </w:p>
    <w:p>
      <w:pPr>
        <w:pStyle w:val="ListParagraph"/>
        <w:numPr>
          <w:ilvl w:val="0"/>
          <w:numId w:val="2"/>
        </w:numPr>
        <w:spacing w:before="36" w:after="36"/>
      </w:pPr>
      <w:r>
        <w:rPr>
          <w:rFonts w:ascii="Arial" w:cs="Arial" w:eastAsia="Arial" w:hAnsi="Arial"/>
          <w:sz w:val="21"/>
          <w:szCs w:val="21"/>
        </w:rPr>
        <w:t xml:space="preserve">Understanding of fairness and bias testing for models used in credit decisioning, including protected characteristic analysis.</w:t>
      </w:r>
    </w:p>
    <w:p>
      <w:pPr>
        <w:pStyle w:val="ListParagraph"/>
        <w:numPr>
          <w:ilvl w:val="0"/>
          <w:numId w:val="2"/>
        </w:numPr>
        <w:spacing w:before="36" w:after="36"/>
      </w:pPr>
      <w:r>
        <w:rPr>
          <w:rFonts w:ascii="Arial" w:cs="Arial" w:eastAsia="Arial" w:hAnsi="Arial"/>
          <w:sz w:val="21"/>
          <w:szCs w:val="21"/>
        </w:rPr>
        <w:t xml:space="preserve">Ability to assess MLOps infrastructure: model versioning, monitoring pipelines, and retraining governance from a model risk perspective.</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Required Qualifications &amp; Experience</w:t>
      </w:r>
    </w:p>
    <w:p>
      <w:pPr>
        <w:pStyle w:val="ListParagraph"/>
        <w:numPr>
          <w:ilvl w:val="0"/>
          <w:numId w:val="2"/>
        </w:numPr>
        <w:spacing w:before="36" w:after="36"/>
      </w:pPr>
      <w:r>
        <w:rPr>
          <w:rFonts w:ascii="Arial" w:cs="Arial" w:eastAsia="Arial" w:hAnsi="Arial"/>
          <w:sz w:val="21"/>
          <w:szCs w:val="21"/>
        </w:rPr>
        <w:t xml:space="preserve">Master's degree or PhD in Mathematics, Statistics, Physics, Financial Engineering, Computer Science, or equivalent quantitative discipline.</w:t>
      </w:r>
    </w:p>
    <w:p>
      <w:pPr>
        <w:pStyle w:val="ListParagraph"/>
        <w:numPr>
          <w:ilvl w:val="0"/>
          <w:numId w:val="2"/>
        </w:numPr>
        <w:spacing w:before="36" w:after="36"/>
      </w:pPr>
      <w:r>
        <w:rPr>
          <w:rFonts w:ascii="Arial" w:cs="Arial" w:eastAsia="Arial" w:hAnsi="Arial"/>
          <w:sz w:val="21"/>
          <w:szCs w:val="21"/>
        </w:rPr>
        <w:t xml:space="preserve">3–6 years of experience in model validation, model development, or quantitative risk within a bank, insurer, or risk consultancy.</w:t>
      </w:r>
    </w:p>
    <w:p>
      <w:pPr>
        <w:pStyle w:val="ListParagraph"/>
        <w:numPr>
          <w:ilvl w:val="0"/>
          <w:numId w:val="2"/>
        </w:numPr>
        <w:spacing w:before="36" w:after="36"/>
      </w:pPr>
      <w:r>
        <w:rPr>
          <w:rFonts w:ascii="Arial" w:cs="Arial" w:eastAsia="Arial" w:hAnsi="Arial"/>
          <w:sz w:val="21"/>
          <w:szCs w:val="21"/>
        </w:rPr>
        <w:t xml:space="preserve">Demonstrable ability to lead end-to-end model validations independently across at least two model domains.</w:t>
      </w:r>
    </w:p>
    <w:p>
      <w:pPr>
        <w:pStyle w:val="ListParagraph"/>
        <w:numPr>
          <w:ilvl w:val="0"/>
          <w:numId w:val="2"/>
        </w:numPr>
        <w:spacing w:before="36" w:after="36"/>
      </w:pPr>
      <w:r>
        <w:rPr>
          <w:rFonts w:ascii="Arial" w:cs="Arial" w:eastAsia="Arial" w:hAnsi="Arial"/>
          <w:sz w:val="21"/>
          <w:szCs w:val="21"/>
        </w:rPr>
        <w:t xml:space="preserve">Strong Python or R programming skills for quantitative testing, data analysis, and benchmark modelling.</w:t>
      </w:r>
    </w:p>
    <w:p>
      <w:pPr>
        <w:pStyle w:val="ListParagraph"/>
        <w:numPr>
          <w:ilvl w:val="0"/>
          <w:numId w:val="2"/>
        </w:numPr>
        <w:spacing w:before="36" w:after="36"/>
      </w:pPr>
      <w:r>
        <w:rPr>
          <w:rFonts w:ascii="Arial" w:cs="Arial" w:eastAsia="Arial" w:hAnsi="Arial"/>
          <w:sz w:val="21"/>
          <w:szCs w:val="21"/>
        </w:rPr>
        <w:t xml:space="preserve">Solid understanding of UK/EU regulatory frameworks: PRA SS1/23, Basel IV, IFRS 9, EBA model risk guidelines.</w:t>
      </w:r>
    </w:p>
    <w:p>
      <w:pPr>
        <w:pStyle w:val="ListParagraph"/>
        <w:numPr>
          <w:ilvl w:val="0"/>
          <w:numId w:val="2"/>
        </w:numPr>
        <w:spacing w:before="36" w:after="36"/>
      </w:pPr>
      <w:r>
        <w:rPr>
          <w:rFonts w:ascii="Arial" w:cs="Arial" w:eastAsia="Arial" w:hAnsi="Arial"/>
          <w:sz w:val="21"/>
          <w:szCs w:val="21"/>
        </w:rPr>
        <w:t xml:space="preserve">Excellent technical writing skills; able to produce clear validation reports suitable for board and regulatory audiences.</w:t>
      </w:r>
    </w:p>
    <w:p>
      <w:pPr>
        <w:pStyle w:val="ListParagraph"/>
        <w:numPr>
          <w:ilvl w:val="0"/>
          <w:numId w:val="2"/>
        </w:numPr>
        <w:spacing w:before="36" w:after="36"/>
      </w:pPr>
      <w:r>
        <w:rPr>
          <w:rFonts w:ascii="Arial" w:cs="Arial" w:eastAsia="Arial" w:hAnsi="Arial"/>
          <w:sz w:val="21"/>
          <w:szCs w:val="21"/>
        </w:rPr>
        <w:t xml:space="preserve">Experience presenting technical findings to non-specialist stakeholders.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Desirable</w:t>
      </w:r>
    </w:p>
    <w:p>
      <w:pPr>
        <w:pStyle w:val="ListParagraph"/>
        <w:numPr>
          <w:ilvl w:val="0"/>
          <w:numId w:val="2"/>
        </w:numPr>
        <w:spacing w:before="36" w:after="36"/>
      </w:pPr>
      <w:r>
        <w:rPr>
          <w:rFonts w:ascii="Arial" w:cs="Arial" w:eastAsia="Arial" w:hAnsi="Arial"/>
          <w:sz w:val="21"/>
          <w:szCs w:val="21"/>
        </w:rPr>
        <w:t xml:space="preserve">CFA, FRM, or PRM qualification (or progress towards).</w:t>
      </w:r>
    </w:p>
    <w:p>
      <w:pPr>
        <w:pStyle w:val="ListParagraph"/>
        <w:numPr>
          <w:ilvl w:val="0"/>
          <w:numId w:val="2"/>
        </w:numPr>
        <w:spacing w:before="36" w:after="36"/>
      </w:pPr>
      <w:r>
        <w:rPr>
          <w:rFonts w:ascii="Arial" w:cs="Arial" w:eastAsia="Arial" w:hAnsi="Arial"/>
          <w:sz w:val="21"/>
          <w:szCs w:val="21"/>
        </w:rPr>
        <w:t xml:space="preserve">Experience in regulatory engagement or supervisory review support.</w:t>
      </w:r>
    </w:p>
    <w:p>
      <w:pPr>
        <w:pStyle w:val="ListParagraph"/>
        <w:numPr>
          <w:ilvl w:val="0"/>
          <w:numId w:val="2"/>
        </w:numPr>
        <w:spacing w:before="36" w:after="36"/>
      </w:pPr>
      <w:r>
        <w:rPr>
          <w:rFonts w:ascii="Arial" w:cs="Arial" w:eastAsia="Arial" w:hAnsi="Arial"/>
          <w:sz w:val="21"/>
          <w:szCs w:val="21"/>
        </w:rPr>
        <w:t xml:space="preserve">Knowledge of XVA (CVA/DVA/FVA/KVA) pricing and capital implications.</w:t>
      </w:r>
    </w:p>
    <w:p>
      <w:pPr>
        <w:pStyle w:val="ListParagraph"/>
        <w:numPr>
          <w:ilvl w:val="0"/>
          <w:numId w:val="2"/>
        </w:numPr>
        <w:spacing w:before="36" w:after="36"/>
      </w:pPr>
      <w:r>
        <w:rPr>
          <w:rFonts w:ascii="Arial" w:cs="Arial" w:eastAsia="Arial" w:hAnsi="Arial"/>
          <w:sz w:val="21"/>
          <w:szCs w:val="21"/>
        </w:rPr>
        <w:t xml:space="preserve">Exposure to FRTB IMA or SA model implementation projects.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What We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Competitive Salary</w:t>
            </w:r>
          </w:p>
          <w:p>
            <w:r>
              <w:rPr>
                <w:rFonts w:ascii="Arial" w:cs="Arial" w:eastAsia="Arial" w:hAnsi="Arial"/>
                <w:color w:val="444444"/>
                <w:sz w:val="20"/>
                <w:szCs w:val="20"/>
              </w:rPr>
              <w:t xml:space="preserve">Upper-quartile VP-level compensation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Annual Bonus</w:t>
            </w:r>
          </w:p>
          <w:p>
            <w:r>
              <w:rPr>
                <w:rFonts w:ascii="Arial" w:cs="Arial" w:eastAsia="Arial" w:hAnsi="Arial"/>
                <w:color w:val="444444"/>
                <w:sz w:val="20"/>
                <w:szCs w:val="20"/>
              </w:rPr>
              <w:t xml:space="preserve">Performance-linked, up to 25% of base salary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Hybrid Working</w:t>
            </w:r>
          </w:p>
          <w:p>
            <w:r>
              <w:rPr>
                <w:rFonts w:ascii="Arial" w:cs="Arial" w:eastAsia="Arial" w:hAnsi="Arial"/>
                <w:color w:val="444444"/>
                <w:sz w:val="20"/>
                <w:szCs w:val="20"/>
              </w:rPr>
              <w:t xml:space="preserve">3 days in-office, 2 days remote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Pension</w:t>
            </w:r>
          </w:p>
          <w:p>
            <w:r>
              <w:rPr>
                <w:rFonts w:ascii="Arial" w:cs="Arial" w:eastAsia="Arial" w:hAnsi="Arial"/>
                <w:color w:val="444444"/>
                <w:sz w:val="20"/>
                <w:szCs w:val="20"/>
              </w:rPr>
              <w:t xml:space="preserve">Employer contribution up to 10%</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Learning &amp; Development</w:t>
            </w:r>
          </w:p>
          <w:p>
            <w:r>
              <w:rPr>
                <w:rFonts w:ascii="Arial" w:cs="Arial" w:eastAsia="Arial" w:hAnsi="Arial"/>
                <w:color w:val="444444"/>
                <w:sz w:val="20"/>
                <w:szCs w:val="20"/>
              </w:rPr>
              <w:t xml:space="preserve">CFA/FRM/PRM sponsorship &amp; conference budget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Wellbeing</w:t>
            </w:r>
          </w:p>
          <w:p>
            <w:r>
              <w:rPr>
                <w:rFonts w:ascii="Arial" w:cs="Arial" w:eastAsia="Arial" w:hAnsi="Arial"/>
                <w:color w:val="444444"/>
                <w:sz w:val="20"/>
                <w:szCs w:val="20"/>
              </w:rPr>
              <w:t xml:space="preserve">Private medical, life assurance &amp; EAP</w:t>
            </w:r>
          </w:p>
        </w:tc>
      </w:tr>
    </w:tbl>
    <w:p>
      <w:pPr>
        <w:spacing w:before="60" w:after="60"/>
      </w:pPr>
      <w:r>
        <w:t xml:space="preserve"/>
      </w:r>
    </w:p>
    <w:p>
      <w:pPr>
        <w:spacing w:before="60" w:after="60"/>
      </w:pPr>
      <w:r>
        <w:rPr>
          <w:rFonts w:ascii="Arial" w:cs="Arial" w:eastAsia="Arial" w:hAnsi="Arial"/>
          <w:i/>
          <w:iCs/>
          <w:color w:val="666666"/>
          <w:sz w:val="21"/>
          <w:szCs w:val="21"/>
        </w:rPr>
        <w:t xml:space="preserve">We are an equal opportunity employer committed to diversity and inclusion. We welcome applications from all qualified individuals regardless of background.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2026-02-22T11:57:57.982Z</dcterms:created>
  <dcterms:modified xsi:type="dcterms:W3CDTF">2026-02-22T11:57:57.983Z</dcterms:modified>
</cp:coreProperties>
</file>

<file path=docProps/custom.xml><?xml version="1.0" encoding="utf-8"?>
<Properties xmlns="http://schemas.openxmlformats.org/officeDocument/2006/custom-properties" xmlns:vt="http://schemas.openxmlformats.org/officeDocument/2006/docPropsVTypes"/>
</file>