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52"/>
          <w:szCs w:val="52"/>
        </w:rPr>
        <w:t xml:space="preserve">SENIOR MODEL VALIDATOR</w:t>
      </w:r>
    </w:p>
    <w:p>
      <w:pPr>
        <w:spacing w:before="0" w:after="200"/>
      </w:pPr>
      <w:r>
        <w:rPr>
          <w:rFonts w:ascii="Arial" w:cs="Arial" w:eastAsia="Arial" w:hAnsi="Arial"/>
          <w:color w:val="666666"/>
          <w:sz w:val="24"/>
          <w:szCs w:val="24"/>
        </w:rPr>
        <w:t xml:space="preserve">Model Risk Management  |  Financial Services  |  Director / Senior VP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Department</w:t>
            </w:r>
          </w:p>
          <w:p>
            <w:r>
              <w:rPr>
                <w:rFonts w:ascii="Arial" w:cs="Arial" w:eastAsia="Arial" w:hAnsi="Arial"/>
                <w:sz w:val="20"/>
                <w:szCs w:val="20"/>
              </w:rPr>
              <w:t xml:space="preserve">Model Risk Management</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Level</w:t>
            </w:r>
          </w:p>
          <w:p>
            <w:r>
              <w:rPr>
                <w:rFonts w:ascii="Arial" w:cs="Arial" w:eastAsia="Arial" w:hAnsi="Arial"/>
                <w:sz w:val="20"/>
                <w:szCs w:val="20"/>
              </w:rPr>
              <w:t xml:space="preserve">Director / SVP</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Location</w:t>
            </w:r>
          </w:p>
          <w:p>
            <w:r>
              <w:rPr>
                <w:rFonts w:ascii="Arial" w:cs="Arial" w:eastAsia="Arial" w:hAnsi="Arial"/>
                <w:sz w:val="20"/>
                <w:szCs w:val="20"/>
              </w:rPr>
              <w:t xml:space="preserve">London / Hybrid</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Reporting To</w:t>
            </w:r>
          </w:p>
          <w:p>
            <w:r>
              <w:rPr>
                <w:rFonts w:ascii="Arial" w:cs="Arial" w:eastAsia="Arial" w:hAnsi="Arial"/>
                <w:sz w:val="20"/>
                <w:szCs w:val="20"/>
              </w:rPr>
              <w:t xml:space="preserve">Head of Model Risk</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Employment</w:t>
            </w:r>
          </w:p>
          <w:p>
            <w:r>
              <w:rPr>
                <w:rFonts w:ascii="Arial" w:cs="Arial" w:eastAsia="Arial" w:hAnsi="Arial"/>
                <w:sz w:val="20"/>
                <w:szCs w:val="20"/>
              </w:rPr>
              <w:t xml:space="preserve">Full-Time, Permanent</w:t>
            </w:r>
          </w:p>
        </w:tc>
      </w:tr>
    </w:tbl>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About the Role</w:t>
      </w:r>
    </w:p>
    <w:p>
      <w:pPr>
        <w:spacing w:before="60" w:after="60"/>
      </w:pPr>
      <w:r>
        <w:rPr>
          <w:rFonts w:ascii="Arial" w:cs="Arial" w:eastAsia="Arial" w:hAnsi="Arial"/>
          <w:sz w:val="21"/>
          <w:szCs w:val="21"/>
        </w:rPr>
        <w:t xml:space="preserve">We are seeking a Senior Model Validator at Director/SVP level to serve as a technical authority within the Model Risk Management function. You will lead complex, high-profile validations, shape the MRM framework, and act as the primary point of contact for regulators, internal audit, and senior risk leadership on model risk matters.</w:t>
      </w:r>
    </w:p>
    <w:p>
      <w:pPr>
        <w:spacing w:before="60" w:after="60"/>
      </w:pPr>
      <w:r>
        <w:t xml:space="preserve"/>
      </w:r>
    </w:p>
    <w:p>
      <w:pPr>
        <w:spacing w:before="60" w:after="60"/>
      </w:pPr>
      <w:r>
        <w:rPr>
          <w:rFonts w:ascii="Arial" w:cs="Arial" w:eastAsia="Arial" w:hAnsi="Arial"/>
          <w:sz w:val="21"/>
          <w:szCs w:val="21"/>
        </w:rPr>
        <w:t xml:space="preserve">This role demands expert-level quantitative knowledge across multiple model domains, sound regulatory judgement, and the leadership capability to develop the wider team. You will define validation standards, drive strategic initiatives, and ensure the bank's model risk posture meets the highest regulatory and governance expectations.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Key Responsibilities</w:t>
      </w:r>
    </w:p>
    <w:p>
      <w:pPr>
        <w:spacing w:before="200" w:after="80"/>
      </w:pPr>
      <w:r>
        <w:rPr>
          <w:rFonts w:ascii="Arial" w:cs="Arial" w:eastAsia="Arial" w:hAnsi="Arial"/>
          <w:b/>
          <w:bCs/>
          <w:color w:val="2E6DA4"/>
          <w:sz w:val="23"/>
          <w:szCs w:val="23"/>
        </w:rPr>
        <w:t xml:space="preserve">Technical Leadership &amp; Complex Validations</w:t>
      </w:r>
    </w:p>
    <w:p>
      <w:pPr>
        <w:pStyle w:val="ListParagraph"/>
        <w:numPr>
          <w:ilvl w:val="0"/>
          <w:numId w:val="2"/>
        </w:numPr>
        <w:spacing w:before="36" w:after="36"/>
      </w:pPr>
      <w:r>
        <w:rPr>
          <w:rFonts w:ascii="Arial" w:cs="Arial" w:eastAsia="Arial" w:hAnsi="Arial"/>
          <w:sz w:val="21"/>
          <w:szCs w:val="21"/>
        </w:rPr>
        <w:t xml:space="preserve">Lead and oversee validation of the most complex and material models in the bank's portfolio — including pricing, XVA, and advanced ML models — setting the standard for quality and rigour.</w:t>
      </w:r>
    </w:p>
    <w:p>
      <w:pPr>
        <w:pStyle w:val="ListParagraph"/>
        <w:numPr>
          <w:ilvl w:val="0"/>
          <w:numId w:val="2"/>
        </w:numPr>
        <w:spacing w:before="36" w:after="36"/>
      </w:pPr>
      <w:r>
        <w:rPr>
          <w:rFonts w:ascii="Arial" w:cs="Arial" w:eastAsia="Arial" w:hAnsi="Arial"/>
          <w:sz w:val="21"/>
          <w:szCs w:val="21"/>
        </w:rPr>
        <w:t xml:space="preserve">Define validation scope, risk-based prioritisation, and testing methodology across the MRM team's annual work programme.</w:t>
      </w:r>
    </w:p>
    <w:p>
      <w:pPr>
        <w:pStyle w:val="ListParagraph"/>
        <w:numPr>
          <w:ilvl w:val="0"/>
          <w:numId w:val="2"/>
        </w:numPr>
        <w:spacing w:before="36" w:after="36"/>
      </w:pPr>
      <w:r>
        <w:rPr>
          <w:rFonts w:ascii="Arial" w:cs="Arial" w:eastAsia="Arial" w:hAnsi="Arial"/>
          <w:sz w:val="21"/>
          <w:szCs w:val="21"/>
        </w:rPr>
        <w:t xml:space="preserve">Review and sign off validation reports produced by VP and Analyst-level validators; provide substantive technical challenge.</w:t>
      </w:r>
    </w:p>
    <w:p>
      <w:pPr>
        <w:pStyle w:val="ListParagraph"/>
        <w:numPr>
          <w:ilvl w:val="0"/>
          <w:numId w:val="2"/>
        </w:numPr>
        <w:spacing w:before="36" w:after="36"/>
      </w:pPr>
      <w:r>
        <w:rPr>
          <w:rFonts w:ascii="Arial" w:cs="Arial" w:eastAsia="Arial" w:hAnsi="Arial"/>
          <w:sz w:val="21"/>
          <w:szCs w:val="21"/>
        </w:rPr>
        <w:t xml:space="preserve">Develop and maintain challenger models and benchmark frameworks used across the team.</w:t>
      </w:r>
    </w:p>
    <w:p>
      <w:pPr>
        <w:spacing w:before="60" w:after="60"/>
      </w:pPr>
      <w:r>
        <w:t xml:space="preserve"/>
      </w:r>
    </w:p>
    <w:p>
      <w:pPr>
        <w:spacing w:before="200" w:after="80"/>
      </w:pPr>
      <w:r>
        <w:rPr>
          <w:rFonts w:ascii="Arial" w:cs="Arial" w:eastAsia="Arial" w:hAnsi="Arial"/>
          <w:b/>
          <w:bCs/>
          <w:color w:val="2E6DA4"/>
          <w:sz w:val="23"/>
          <w:szCs w:val="23"/>
        </w:rPr>
        <w:t xml:space="preserve">Regulatory &amp; Governance Leadership</w:t>
      </w:r>
    </w:p>
    <w:p>
      <w:pPr>
        <w:pStyle w:val="ListParagraph"/>
        <w:numPr>
          <w:ilvl w:val="0"/>
          <w:numId w:val="2"/>
        </w:numPr>
        <w:spacing w:before="36" w:after="36"/>
      </w:pPr>
      <w:r>
        <w:rPr>
          <w:rFonts w:ascii="Arial" w:cs="Arial" w:eastAsia="Arial" w:hAnsi="Arial"/>
          <w:sz w:val="21"/>
          <w:szCs w:val="21"/>
        </w:rPr>
        <w:t xml:space="preserve">Serve as the primary MRM liaison for PRA, FCA, and ECB supervisory reviews; lead responses to model risk findings in regulatory letters and Dear CEO communications.</w:t>
      </w:r>
    </w:p>
    <w:p>
      <w:pPr>
        <w:pStyle w:val="ListParagraph"/>
        <w:numPr>
          <w:ilvl w:val="0"/>
          <w:numId w:val="2"/>
        </w:numPr>
        <w:spacing w:before="36" w:after="36"/>
      </w:pPr>
      <w:r>
        <w:rPr>
          <w:rFonts w:ascii="Arial" w:cs="Arial" w:eastAsia="Arial" w:hAnsi="Arial"/>
          <w:sz w:val="21"/>
          <w:szCs w:val="21"/>
        </w:rPr>
        <w:t xml:space="preserve">Own and evolve the MRM framework: validation standards, model risk appetite, risk rating methodology, and escalation procedures.</w:t>
      </w:r>
    </w:p>
    <w:p>
      <w:pPr>
        <w:pStyle w:val="ListParagraph"/>
        <w:numPr>
          <w:ilvl w:val="0"/>
          <w:numId w:val="2"/>
        </w:numPr>
        <w:spacing w:before="36" w:after="36"/>
      </w:pPr>
      <w:r>
        <w:rPr>
          <w:rFonts w:ascii="Arial" w:cs="Arial" w:eastAsia="Arial" w:hAnsi="Arial"/>
          <w:sz w:val="21"/>
          <w:szCs w:val="21"/>
        </w:rPr>
        <w:t xml:space="preserve">Chair or represent MRM at model risk committees, ALCO, and risk governance forums up to Board Risk Committee level.</w:t>
      </w:r>
    </w:p>
    <w:p>
      <w:pPr>
        <w:pStyle w:val="ListParagraph"/>
        <w:numPr>
          <w:ilvl w:val="0"/>
          <w:numId w:val="2"/>
        </w:numPr>
        <w:spacing w:before="36" w:after="36"/>
      </w:pPr>
      <w:r>
        <w:rPr>
          <w:rFonts w:ascii="Arial" w:cs="Arial" w:eastAsia="Arial" w:hAnsi="Arial"/>
          <w:sz w:val="21"/>
          <w:szCs w:val="21"/>
        </w:rPr>
        <w:t xml:space="preserve">Drive remediation governance: oversee tracking of findings, escalate material unresolved risks, and advise model owners on remediation approaches.</w:t>
      </w:r>
    </w:p>
    <w:p>
      <w:pPr>
        <w:pStyle w:val="ListParagraph"/>
        <w:numPr>
          <w:ilvl w:val="0"/>
          <w:numId w:val="2"/>
        </w:numPr>
        <w:spacing w:before="36" w:after="36"/>
      </w:pPr>
      <w:r>
        <w:rPr>
          <w:rFonts w:ascii="Arial" w:cs="Arial" w:eastAsia="Arial" w:hAnsi="Arial"/>
          <w:sz w:val="21"/>
          <w:szCs w:val="21"/>
        </w:rPr>
        <w:t xml:space="preserve">Maintain expertise across evolving regulatory requirements: Basel IV, FRTB, IFRS 9, PRA SS1/23, EBA model risk guidelines, and emerging AI/ML model governance frameworks.</w:t>
      </w:r>
    </w:p>
    <w:p>
      <w:pPr>
        <w:spacing w:before="60" w:after="60"/>
      </w:pPr>
      <w:r>
        <w:t xml:space="preserve"/>
      </w:r>
    </w:p>
    <w:p>
      <w:pPr>
        <w:spacing w:before="200" w:after="80"/>
      </w:pPr>
      <w:r>
        <w:rPr>
          <w:rFonts w:ascii="Arial" w:cs="Arial" w:eastAsia="Arial" w:hAnsi="Arial"/>
          <w:b/>
          <w:bCs/>
          <w:color w:val="2E6DA4"/>
          <w:sz w:val="23"/>
          <w:szCs w:val="23"/>
        </w:rPr>
        <w:t xml:space="preserve">Team Development &amp; Stakeholder Influence</w:t>
      </w:r>
    </w:p>
    <w:p>
      <w:pPr>
        <w:pStyle w:val="ListParagraph"/>
        <w:numPr>
          <w:ilvl w:val="0"/>
          <w:numId w:val="2"/>
        </w:numPr>
        <w:spacing w:before="36" w:after="36"/>
      </w:pPr>
      <w:r>
        <w:rPr>
          <w:rFonts w:ascii="Arial" w:cs="Arial" w:eastAsia="Arial" w:hAnsi="Arial"/>
          <w:sz w:val="21"/>
          <w:szCs w:val="21"/>
        </w:rPr>
        <w:t xml:space="preserve">Line manage VP and Analyst validators; set objectives, conduct performance reviews, and champion professional development (CFA, FRM, PhDs).</w:t>
      </w:r>
    </w:p>
    <w:p>
      <w:pPr>
        <w:pStyle w:val="ListParagraph"/>
        <w:numPr>
          <w:ilvl w:val="0"/>
          <w:numId w:val="2"/>
        </w:numPr>
        <w:spacing w:before="36" w:after="36"/>
      </w:pPr>
      <w:r>
        <w:rPr>
          <w:rFonts w:ascii="Arial" w:cs="Arial" w:eastAsia="Arial" w:hAnsi="Arial"/>
          <w:sz w:val="21"/>
          <w:szCs w:val="21"/>
        </w:rPr>
        <w:t xml:space="preserve">Build and maintain senior relationships with Heads of Quant, Chief Risk Officer, CFO, and Treasurer; act as a credible and independent voice on model risk.</w:t>
      </w:r>
    </w:p>
    <w:p>
      <w:pPr>
        <w:pStyle w:val="ListParagraph"/>
        <w:numPr>
          <w:ilvl w:val="0"/>
          <w:numId w:val="2"/>
        </w:numPr>
        <w:spacing w:before="36" w:after="36"/>
      </w:pPr>
      <w:r>
        <w:rPr>
          <w:rFonts w:ascii="Arial" w:cs="Arial" w:eastAsia="Arial" w:hAnsi="Arial"/>
          <w:sz w:val="21"/>
          <w:szCs w:val="21"/>
        </w:rPr>
        <w:t xml:space="preserve">Represent MRM in model governance discussions with front office, treasury, and finance on high-impact model change decisions.</w:t>
      </w:r>
    </w:p>
    <w:p>
      <w:pPr>
        <w:pStyle w:val="ListParagraph"/>
        <w:numPr>
          <w:ilvl w:val="0"/>
          <w:numId w:val="2"/>
        </w:numPr>
        <w:spacing w:before="36" w:after="36"/>
      </w:pPr>
      <w:r>
        <w:rPr>
          <w:rFonts w:ascii="Arial" w:cs="Arial" w:eastAsia="Arial" w:hAnsi="Arial"/>
          <w:sz w:val="21"/>
          <w:szCs w:val="21"/>
        </w:rPr>
        <w:t xml:space="preserve">Contribute to talent strategy: involvement in hiring, onboarding standards, and team capability building.</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Model Validation Skills &amp; Technical Knowledge</w:t>
      </w:r>
    </w:p>
    <w:p>
      <w:pPr>
        <w:spacing w:before="60" w:after="60"/>
      </w:pPr>
      <w:r>
        <w:rPr>
          <w:rFonts w:ascii="Arial" w:cs="Arial" w:eastAsia="Arial" w:hAnsi="Arial"/>
          <w:sz w:val="21"/>
          <w:szCs w:val="21"/>
        </w:rPr>
        <w:t xml:space="preserve">At Senior Validator level, expert-depth knowledge is expected across primary domains and strong working knowledge across all areas. The following sets out the full scope of model types within the MRM mandate and the expected depth of expertise.</w:t>
      </w:r>
    </w:p>
    <w:p>
      <w:pPr>
        <w:spacing w:before="60" w:after="60"/>
      </w:pPr>
      <w:r>
        <w:t xml:space="preserve"/>
      </w:r>
    </w:p>
    <w:p>
      <w:pPr>
        <w:spacing w:before="200" w:after="80"/>
      </w:pPr>
      <w:r>
        <w:rPr>
          <w:rFonts w:ascii="Arial" w:cs="Arial" w:eastAsia="Arial" w:hAnsi="Arial"/>
          <w:b/>
          <w:bCs/>
          <w:color w:val="2E6DA4"/>
          <w:sz w:val="23"/>
          <w:szCs w:val="23"/>
        </w:rPr>
        <w:t xml:space="preserve">1. Credit Risk Models (PD / LGD / EAD / IFRS 9)</w:t>
      </w:r>
    </w:p>
    <w:p>
      <w:pPr>
        <w:pStyle w:val="ListParagraph"/>
        <w:numPr>
          <w:ilvl w:val="0"/>
          <w:numId w:val="2"/>
        </w:numPr>
        <w:spacing w:before="36" w:after="36"/>
      </w:pPr>
      <w:r>
        <w:rPr>
          <w:rFonts w:ascii="Arial" w:cs="Arial" w:eastAsia="Arial" w:hAnsi="Arial"/>
          <w:sz w:val="21"/>
          <w:szCs w:val="21"/>
        </w:rPr>
        <w:t xml:space="preserve">Expert-level knowledge of IRB model development and validation: PD scorecards (logistic, survival, hybrid), LGD workout models (discounted cash flow, regression-based), and EAD/CCF models across retail, SME, and wholesale segments.</w:t>
      </w:r>
    </w:p>
    <w:p>
      <w:pPr>
        <w:pStyle w:val="ListParagraph"/>
        <w:numPr>
          <w:ilvl w:val="0"/>
          <w:numId w:val="2"/>
        </w:numPr>
        <w:spacing w:before="36" w:after="36"/>
      </w:pPr>
      <w:r>
        <w:rPr>
          <w:rFonts w:ascii="Arial" w:cs="Arial" w:eastAsia="Arial" w:hAnsi="Arial"/>
          <w:sz w:val="21"/>
          <w:szCs w:val="21"/>
        </w:rPr>
        <w:t xml:space="preserve">Deep experience validating IFRS 9 ECL frameworks end-to-end: staging criteria (S1/S2/S3 triggers), PiT-vs-TTC PD transformation, LGD in-default estimation, forward-looking economic scenarios, and management overlays.</w:t>
      </w:r>
    </w:p>
    <w:p>
      <w:pPr>
        <w:pStyle w:val="ListParagraph"/>
        <w:numPr>
          <w:ilvl w:val="0"/>
          <w:numId w:val="2"/>
        </w:numPr>
        <w:spacing w:before="36" w:after="36"/>
      </w:pPr>
      <w:r>
        <w:rPr>
          <w:rFonts w:ascii="Arial" w:cs="Arial" w:eastAsia="Arial" w:hAnsi="Arial"/>
          <w:sz w:val="21"/>
          <w:szCs w:val="21"/>
        </w:rPr>
        <w:t xml:space="preserve">Ability to critically assess calibration to long-run averages (LRA), downturn LGD/EAD, and margin of conservatism (MoC) under PRA/EBA IRB guidelines.</w:t>
      </w:r>
    </w:p>
    <w:p>
      <w:pPr>
        <w:pStyle w:val="ListParagraph"/>
        <w:numPr>
          <w:ilvl w:val="0"/>
          <w:numId w:val="2"/>
        </w:numPr>
        <w:spacing w:before="36" w:after="36"/>
      </w:pPr>
      <w:r>
        <w:rPr>
          <w:rFonts w:ascii="Arial" w:cs="Arial" w:eastAsia="Arial" w:hAnsi="Arial"/>
          <w:sz w:val="21"/>
          <w:szCs w:val="21"/>
        </w:rPr>
        <w:t xml:space="preserve">Strong command of Basel IV reforms: A-IRB scope restrictions, output floor (72.5%), revised SA for credit risk, and implications for internal model approval and use test requirements.</w:t>
      </w:r>
    </w:p>
    <w:p>
      <w:pPr>
        <w:pStyle w:val="ListParagraph"/>
        <w:numPr>
          <w:ilvl w:val="0"/>
          <w:numId w:val="2"/>
        </w:numPr>
        <w:spacing w:before="36" w:after="36"/>
      </w:pPr>
      <w:r>
        <w:rPr>
          <w:rFonts w:ascii="Arial" w:cs="Arial" w:eastAsia="Arial" w:hAnsi="Arial"/>
          <w:sz w:val="21"/>
          <w:szCs w:val="21"/>
        </w:rPr>
        <w:t xml:space="preserve">Experience leading regulatory submissions and dialogue with the PRA on IRB model approval, significant change notifications, and model waivers.</w:t>
      </w:r>
    </w:p>
    <w:p>
      <w:pPr>
        <w:spacing w:before="60" w:after="60"/>
      </w:pPr>
      <w:r>
        <w:t xml:space="preserve"/>
      </w:r>
    </w:p>
    <w:p>
      <w:pPr>
        <w:spacing w:before="200" w:after="80"/>
      </w:pPr>
      <w:r>
        <w:rPr>
          <w:rFonts w:ascii="Arial" w:cs="Arial" w:eastAsia="Arial" w:hAnsi="Arial"/>
          <w:b/>
          <w:bCs/>
          <w:color w:val="2E6DA4"/>
          <w:sz w:val="23"/>
          <w:szCs w:val="23"/>
        </w:rPr>
        <w:t xml:space="preserve">2. Market Risk Models (VaR / ES / Stress Testing)</w:t>
      </w:r>
    </w:p>
    <w:p>
      <w:pPr>
        <w:pStyle w:val="ListParagraph"/>
        <w:numPr>
          <w:ilvl w:val="0"/>
          <w:numId w:val="2"/>
        </w:numPr>
        <w:spacing w:before="36" w:after="36"/>
      </w:pPr>
      <w:r>
        <w:rPr>
          <w:rFonts w:ascii="Arial" w:cs="Arial" w:eastAsia="Arial" w:hAnsi="Arial"/>
          <w:sz w:val="21"/>
          <w:szCs w:val="21"/>
        </w:rPr>
        <w:t xml:space="preserve">Expert-level knowledge of market risk measurement frameworks: full revaluation historical simulation, delta-gamma Monte Carlo, parametric VaR; in-depth understanding of their limitations and model risk implications.</w:t>
      </w:r>
    </w:p>
    <w:p>
      <w:pPr>
        <w:pStyle w:val="ListParagraph"/>
        <w:numPr>
          <w:ilvl w:val="0"/>
          <w:numId w:val="2"/>
        </w:numPr>
        <w:spacing w:before="36" w:after="36"/>
      </w:pPr>
      <w:r>
        <w:rPr>
          <w:rFonts w:ascii="Arial" w:cs="Arial" w:eastAsia="Arial" w:hAnsi="Arial"/>
          <w:sz w:val="21"/>
          <w:szCs w:val="21"/>
        </w:rPr>
        <w:t xml:space="preserve">Deep experience with FRTB validation requirements: IMA eligibility (P&amp;L attribution, backtesting), liquidity horizon calibration, and the non-modellable risk factor (NMRF) framework.</w:t>
      </w:r>
    </w:p>
    <w:p>
      <w:pPr>
        <w:pStyle w:val="ListParagraph"/>
        <w:numPr>
          <w:ilvl w:val="0"/>
          <w:numId w:val="2"/>
        </w:numPr>
        <w:spacing w:before="36" w:after="36"/>
      </w:pPr>
      <w:r>
        <w:rPr>
          <w:rFonts w:ascii="Arial" w:cs="Arial" w:eastAsia="Arial" w:hAnsi="Arial"/>
          <w:sz w:val="21"/>
          <w:szCs w:val="21"/>
        </w:rPr>
        <w:t xml:space="preserve">Ability to design and evaluate stress testing models: scenario design, sensitivity analysis, reverse stress testing, and integration with ICAAP/ILAAP.</w:t>
      </w:r>
    </w:p>
    <w:p>
      <w:pPr>
        <w:pStyle w:val="ListParagraph"/>
        <w:numPr>
          <w:ilvl w:val="0"/>
          <w:numId w:val="2"/>
        </w:numPr>
        <w:spacing w:before="36" w:after="36"/>
      </w:pPr>
      <w:r>
        <w:rPr>
          <w:rFonts w:ascii="Arial" w:cs="Arial" w:eastAsia="Arial" w:hAnsi="Arial"/>
          <w:sz w:val="21"/>
          <w:szCs w:val="21"/>
        </w:rPr>
        <w:t xml:space="preserve">Experience assessing cross-risk aggregation models, correlation assumptions, and diversification benefit validity under stress.</w:t>
      </w:r>
    </w:p>
    <w:p>
      <w:pPr>
        <w:pStyle w:val="ListParagraph"/>
        <w:numPr>
          <w:ilvl w:val="0"/>
          <w:numId w:val="2"/>
        </w:numPr>
        <w:spacing w:before="36" w:after="36"/>
      </w:pPr>
      <w:r>
        <w:rPr>
          <w:rFonts w:ascii="Arial" w:cs="Arial" w:eastAsia="Arial" w:hAnsi="Arial"/>
          <w:sz w:val="21"/>
          <w:szCs w:val="21"/>
        </w:rPr>
        <w:t xml:space="preserve">Familiarity with intraday liquidity risk models and how they interact with market risk capital frameworks.</w:t>
      </w:r>
    </w:p>
    <w:p>
      <w:pPr>
        <w:spacing w:before="60" w:after="60"/>
      </w:pPr>
      <w:r>
        <w:t xml:space="preserve"/>
      </w:r>
    </w:p>
    <w:p>
      <w:pPr>
        <w:spacing w:before="200" w:after="80"/>
      </w:pPr>
      <w:r>
        <w:rPr>
          <w:rFonts w:ascii="Arial" w:cs="Arial" w:eastAsia="Arial" w:hAnsi="Arial"/>
          <w:b/>
          <w:bCs/>
          <w:color w:val="2E6DA4"/>
          <w:sz w:val="23"/>
          <w:szCs w:val="23"/>
        </w:rPr>
        <w:t xml:space="preserve">3. Pricing Models (Derivatives &amp; Structured Products)</w:t>
      </w:r>
    </w:p>
    <w:p>
      <w:pPr>
        <w:pStyle w:val="ListParagraph"/>
        <w:numPr>
          <w:ilvl w:val="0"/>
          <w:numId w:val="2"/>
        </w:numPr>
        <w:spacing w:before="36" w:after="36"/>
      </w:pPr>
      <w:r>
        <w:rPr>
          <w:rFonts w:ascii="Arial" w:cs="Arial" w:eastAsia="Arial" w:hAnsi="Arial"/>
          <w:sz w:val="21"/>
          <w:szCs w:val="21"/>
        </w:rPr>
        <w:t xml:space="preserve">Expert knowledge of derivatives pricing model validation: rates (LMM+, Hull-White 2F, quasi-Gaussian), equity/FX (Heston, SABR, local stochastic vol), credit (intensity, structural, hybrid), and inflation models.</w:t>
      </w:r>
    </w:p>
    <w:p>
      <w:pPr>
        <w:pStyle w:val="ListParagraph"/>
        <w:numPr>
          <w:ilvl w:val="0"/>
          <w:numId w:val="2"/>
        </w:numPr>
        <w:spacing w:before="36" w:after="36"/>
      </w:pPr>
      <w:r>
        <w:rPr>
          <w:rFonts w:ascii="Arial" w:cs="Arial" w:eastAsia="Arial" w:hAnsi="Arial"/>
          <w:sz w:val="21"/>
          <w:szCs w:val="21"/>
        </w:rPr>
        <w:t xml:space="preserve">Deep ability to assess model calibration quality: calibration to vanilla instruments, smile fit, forward smile dynamics, and hedging performance under model assumptions.</w:t>
      </w:r>
    </w:p>
    <w:p>
      <w:pPr>
        <w:pStyle w:val="ListParagraph"/>
        <w:numPr>
          <w:ilvl w:val="0"/>
          <w:numId w:val="2"/>
        </w:numPr>
        <w:spacing w:before="36" w:after="36"/>
      </w:pPr>
      <w:r>
        <w:rPr>
          <w:rFonts w:ascii="Arial" w:cs="Arial" w:eastAsia="Arial" w:hAnsi="Arial"/>
          <w:sz w:val="21"/>
          <w:szCs w:val="21"/>
        </w:rPr>
        <w:t xml:space="preserve">Experience validating structured product models: CLO/CDO tranching (Gaussian copula, base correlation), CMBS, and hybrid structures; ability to assess tail risk and model breakpoints.</w:t>
      </w:r>
    </w:p>
    <w:p>
      <w:pPr>
        <w:pStyle w:val="ListParagraph"/>
        <w:numPr>
          <w:ilvl w:val="0"/>
          <w:numId w:val="2"/>
        </w:numPr>
        <w:spacing w:before="36" w:after="36"/>
      </w:pPr>
      <w:r>
        <w:rPr>
          <w:rFonts w:ascii="Arial" w:cs="Arial" w:eastAsia="Arial" w:hAnsi="Arial"/>
          <w:sz w:val="21"/>
          <w:szCs w:val="21"/>
        </w:rPr>
        <w:t xml:space="preserve">Ability to validate numerical methods: finite difference schemes, Monte Carlo variance reduction techniques, and lattice models — assessing accuracy, convergence, and computational risk.</w:t>
      </w:r>
    </w:p>
    <w:p>
      <w:pPr>
        <w:pStyle w:val="ListParagraph"/>
        <w:numPr>
          <w:ilvl w:val="0"/>
          <w:numId w:val="2"/>
        </w:numPr>
        <w:spacing w:before="36" w:after="36"/>
      </w:pPr>
      <w:r>
        <w:rPr>
          <w:rFonts w:ascii="Arial" w:cs="Arial" w:eastAsia="Arial" w:hAnsi="Arial"/>
          <w:sz w:val="21"/>
          <w:szCs w:val="21"/>
        </w:rPr>
        <w:t xml:space="preserve">Understanding of fair value hierarchy (IFRS 13 / ASC 820), prudent valuation (PVA) adjustments, and model reserve estimation.</w:t>
      </w:r>
    </w:p>
    <w:p>
      <w:pPr>
        <w:spacing w:before="60" w:after="60"/>
      </w:pPr>
      <w:r>
        <w:t xml:space="preserve"/>
      </w:r>
    </w:p>
    <w:p>
      <w:pPr>
        <w:spacing w:before="200" w:after="80"/>
      </w:pPr>
      <w:r>
        <w:rPr>
          <w:rFonts w:ascii="Arial" w:cs="Arial" w:eastAsia="Arial" w:hAnsi="Arial"/>
          <w:b/>
          <w:bCs/>
          <w:color w:val="2E6DA4"/>
          <w:sz w:val="23"/>
          <w:szCs w:val="23"/>
        </w:rPr>
        <w:t xml:space="preserve">4. Credit Trading Models</w:t>
      </w:r>
    </w:p>
    <w:p>
      <w:pPr>
        <w:pStyle w:val="ListParagraph"/>
        <w:numPr>
          <w:ilvl w:val="0"/>
          <w:numId w:val="2"/>
        </w:numPr>
        <w:spacing w:before="36" w:after="36"/>
      </w:pPr>
      <w:r>
        <w:rPr>
          <w:rFonts w:ascii="Arial" w:cs="Arial" w:eastAsia="Arial" w:hAnsi="Arial"/>
          <w:sz w:val="21"/>
          <w:szCs w:val="21"/>
        </w:rPr>
        <w:t xml:space="preserve">Expert-level knowledge of credit spread model validation: single-name CDS, index products (CDX IG/HY, iTraxx Main/Xover), CDS options, and credit volatility surfaces.</w:t>
      </w:r>
    </w:p>
    <w:p>
      <w:pPr>
        <w:pStyle w:val="ListParagraph"/>
        <w:numPr>
          <w:ilvl w:val="0"/>
          <w:numId w:val="2"/>
        </w:numPr>
        <w:spacing w:before="36" w:after="36"/>
      </w:pPr>
      <w:r>
        <w:rPr>
          <w:rFonts w:ascii="Arial" w:cs="Arial" w:eastAsia="Arial" w:hAnsi="Arial"/>
          <w:sz w:val="21"/>
          <w:szCs w:val="21"/>
        </w:rPr>
        <w:t xml:space="preserve">Deep experience validating XVA models: CVA (unilateral/bilateral), DVA, FVA, MVA, and KVA — covering simulation framework design, wrong-way risk (general and specific), netting set aggregation, and collateral modelling.</w:t>
      </w:r>
    </w:p>
    <w:p>
      <w:pPr>
        <w:pStyle w:val="ListParagraph"/>
        <w:numPr>
          <w:ilvl w:val="0"/>
          <w:numId w:val="2"/>
        </w:numPr>
        <w:spacing w:before="36" w:after="36"/>
      </w:pPr>
      <w:r>
        <w:rPr>
          <w:rFonts w:ascii="Arial" w:cs="Arial" w:eastAsia="Arial" w:hAnsi="Arial"/>
          <w:sz w:val="21"/>
          <w:szCs w:val="21"/>
        </w:rPr>
        <w:t xml:space="preserve">Ability to critically assess IMM/CCR models: stress PFE, EEPE, alpha multiplier, collateral haircut models, and concentration risk overlays.</w:t>
      </w:r>
    </w:p>
    <w:p>
      <w:pPr>
        <w:pStyle w:val="ListParagraph"/>
        <w:numPr>
          <w:ilvl w:val="0"/>
          <w:numId w:val="2"/>
        </w:numPr>
        <w:spacing w:before="36" w:after="36"/>
      </w:pPr>
      <w:r>
        <w:rPr>
          <w:rFonts w:ascii="Arial" w:cs="Arial" w:eastAsia="Arial" w:hAnsi="Arial"/>
          <w:sz w:val="21"/>
          <w:szCs w:val="21"/>
        </w:rPr>
        <w:t xml:space="preserve">Understanding of capital implications under SA-CCR vs IMM, IMM approval processes, and ongoing supervisory monitoring requirements.</w:t>
      </w:r>
    </w:p>
    <w:p>
      <w:pPr>
        <w:pStyle w:val="ListParagraph"/>
        <w:numPr>
          <w:ilvl w:val="0"/>
          <w:numId w:val="2"/>
        </w:numPr>
        <w:spacing w:before="36" w:after="36"/>
      </w:pPr>
      <w:r>
        <w:rPr>
          <w:rFonts w:ascii="Arial" w:cs="Arial" w:eastAsia="Arial" w:hAnsi="Arial"/>
          <w:sz w:val="21"/>
          <w:szCs w:val="21"/>
        </w:rPr>
        <w:t xml:space="preserve">Experience with credit portfolio models: multi-factor credit risk models, copula approaches for portfolio loss distributions, and economic capital frameworks.</w:t>
      </w:r>
    </w:p>
    <w:p>
      <w:pPr>
        <w:spacing w:before="60" w:after="60"/>
      </w:pPr>
      <w:r>
        <w:t xml:space="preserve"/>
      </w:r>
    </w:p>
    <w:p>
      <w:pPr>
        <w:spacing w:before="200" w:after="80"/>
      </w:pPr>
      <w:r>
        <w:rPr>
          <w:rFonts w:ascii="Arial" w:cs="Arial" w:eastAsia="Arial" w:hAnsi="Arial"/>
          <w:b/>
          <w:bCs/>
          <w:color w:val="2E6DA4"/>
          <w:sz w:val="23"/>
          <w:szCs w:val="23"/>
        </w:rPr>
        <w:t xml:space="preserve">5. Behavioural &amp; ALM Models</w:t>
      </w:r>
    </w:p>
    <w:p>
      <w:pPr>
        <w:pStyle w:val="ListParagraph"/>
        <w:numPr>
          <w:ilvl w:val="0"/>
          <w:numId w:val="2"/>
        </w:numPr>
        <w:spacing w:before="36" w:after="36"/>
      </w:pPr>
      <w:r>
        <w:rPr>
          <w:rFonts w:ascii="Arial" w:cs="Arial" w:eastAsia="Arial" w:hAnsi="Arial"/>
          <w:sz w:val="21"/>
          <w:szCs w:val="21"/>
        </w:rPr>
        <w:t xml:space="preserve">Expert knowledge of ALM model validation: non-maturity deposit (NMD) behavioural modelling (volume, rate sensitivity, and maturity), mortgage prepayment (CPR/SMM, econometric and option-adjusted), and pipeline/fallout models.</w:t>
      </w:r>
    </w:p>
    <w:p>
      <w:pPr>
        <w:pStyle w:val="ListParagraph"/>
        <w:numPr>
          <w:ilvl w:val="0"/>
          <w:numId w:val="2"/>
        </w:numPr>
        <w:spacing w:before="36" w:after="36"/>
      </w:pPr>
      <w:r>
        <w:rPr>
          <w:rFonts w:ascii="Arial" w:cs="Arial" w:eastAsia="Arial" w:hAnsi="Arial"/>
          <w:sz w:val="21"/>
          <w:szCs w:val="21"/>
        </w:rPr>
        <w:t xml:space="preserve">Deep experience assessing IRRBB models under EBA guidelines: NII/EVE sensitivity, repricing gap analysis, and basis risk modelling; ability to evaluate internal model adequacy vs. EBA standardised approach.</w:t>
      </w:r>
    </w:p>
    <w:p>
      <w:pPr>
        <w:pStyle w:val="ListParagraph"/>
        <w:numPr>
          <w:ilvl w:val="0"/>
          <w:numId w:val="2"/>
        </w:numPr>
        <w:spacing w:before="36" w:after="36"/>
      </w:pPr>
      <w:r>
        <w:rPr>
          <w:rFonts w:ascii="Arial" w:cs="Arial" w:eastAsia="Arial" w:hAnsi="Arial"/>
          <w:sz w:val="21"/>
          <w:szCs w:val="21"/>
        </w:rPr>
        <w:t xml:space="preserve">Ability to validate FTP models: transfer pricing curve construction, optionality and liquidity premium allocation, and their interaction with product pricing models.</w:t>
      </w:r>
    </w:p>
    <w:p>
      <w:pPr>
        <w:pStyle w:val="ListParagraph"/>
        <w:numPr>
          <w:ilvl w:val="0"/>
          <w:numId w:val="2"/>
        </w:numPr>
        <w:spacing w:before="36" w:after="36"/>
      </w:pPr>
      <w:r>
        <w:rPr>
          <w:rFonts w:ascii="Arial" w:cs="Arial" w:eastAsia="Arial" w:hAnsi="Arial"/>
          <w:sz w:val="21"/>
          <w:szCs w:val="21"/>
        </w:rPr>
        <w:t xml:space="preserve">Understanding of pension fund liability models, longevity risk, and interest rate hedging strategies from a model risk perspective.</w:t>
      </w:r>
    </w:p>
    <w:p>
      <w:pPr>
        <w:spacing w:before="60" w:after="60"/>
      </w:pPr>
      <w:r>
        <w:t xml:space="preserve"/>
      </w:r>
    </w:p>
    <w:p>
      <w:pPr>
        <w:spacing w:before="200" w:after="80"/>
      </w:pPr>
      <w:r>
        <w:rPr>
          <w:rFonts w:ascii="Arial" w:cs="Arial" w:eastAsia="Arial" w:hAnsi="Arial"/>
          <w:b/>
          <w:bCs/>
          <w:color w:val="2E6DA4"/>
          <w:sz w:val="23"/>
          <w:szCs w:val="23"/>
        </w:rPr>
        <w:t xml:space="preserve">6. Operational Risk Models</w:t>
      </w:r>
    </w:p>
    <w:p>
      <w:pPr>
        <w:pStyle w:val="ListParagraph"/>
        <w:numPr>
          <w:ilvl w:val="0"/>
          <w:numId w:val="2"/>
        </w:numPr>
        <w:spacing w:before="36" w:after="36"/>
      </w:pPr>
      <w:r>
        <w:rPr>
          <w:rFonts w:ascii="Arial" w:cs="Arial" w:eastAsia="Arial" w:hAnsi="Arial"/>
          <w:sz w:val="21"/>
          <w:szCs w:val="21"/>
        </w:rPr>
        <w:t xml:space="preserve">Deep knowledge of LDA model validation: distribution fitting (Poisson/Negative Binomial for frequency; LogNormal, Weibull, GPD for severity), dependence structures (copulas, correlation matrices), and the impact of data truncation and scaling.</w:t>
      </w:r>
    </w:p>
    <w:p>
      <w:pPr>
        <w:pStyle w:val="ListParagraph"/>
        <w:numPr>
          <w:ilvl w:val="0"/>
          <w:numId w:val="2"/>
        </w:numPr>
        <w:spacing w:before="36" w:after="36"/>
      </w:pPr>
      <w:r>
        <w:rPr>
          <w:rFonts w:ascii="Arial" w:cs="Arial" w:eastAsia="Arial" w:hAnsi="Arial"/>
          <w:sz w:val="21"/>
          <w:szCs w:val="21"/>
        </w:rPr>
        <w:t xml:space="preserve">Ability to critically assess scenario analysis processes: expert elicitation methods, consistency checks, and integration with historical loss data.</w:t>
      </w:r>
    </w:p>
    <w:p>
      <w:pPr>
        <w:pStyle w:val="ListParagraph"/>
        <w:numPr>
          <w:ilvl w:val="0"/>
          <w:numId w:val="2"/>
        </w:numPr>
        <w:spacing w:before="36" w:after="36"/>
      </w:pPr>
      <w:r>
        <w:rPr>
          <w:rFonts w:ascii="Arial" w:cs="Arial" w:eastAsia="Arial" w:hAnsi="Arial"/>
          <w:sz w:val="21"/>
          <w:szCs w:val="21"/>
        </w:rPr>
        <w:t xml:space="preserve">Experience evaluating the Basel IV SMA transition: BIC calculation, ILM debate, and strategic implications for operational risk capital management.</w:t>
      </w:r>
    </w:p>
    <w:p>
      <w:pPr>
        <w:pStyle w:val="ListParagraph"/>
        <w:numPr>
          <w:ilvl w:val="0"/>
          <w:numId w:val="2"/>
        </w:numPr>
        <w:spacing w:before="36" w:after="36"/>
      </w:pPr>
      <w:r>
        <w:rPr>
          <w:rFonts w:ascii="Arial" w:cs="Arial" w:eastAsia="Arial" w:hAnsi="Arial"/>
          <w:sz w:val="21"/>
          <w:szCs w:val="21"/>
        </w:rPr>
        <w:t xml:space="preserve">Understanding of emerging model risk in cyber quantification models, third-party/vendor risk models, and conduct risk measurement frameworks.</w:t>
      </w:r>
    </w:p>
    <w:p>
      <w:pPr>
        <w:spacing w:before="60" w:after="60"/>
      </w:pPr>
      <w:r>
        <w:t xml:space="preserve"/>
      </w:r>
    </w:p>
    <w:p>
      <w:pPr>
        <w:spacing w:before="200" w:after="80"/>
      </w:pPr>
      <w:r>
        <w:rPr>
          <w:rFonts w:ascii="Arial" w:cs="Arial" w:eastAsia="Arial" w:hAnsi="Arial"/>
          <w:b/>
          <w:bCs/>
          <w:color w:val="2E6DA4"/>
          <w:sz w:val="23"/>
          <w:szCs w:val="23"/>
        </w:rPr>
        <w:t xml:space="preserve">7. Climate &amp; ESG Risk Models</w:t>
      </w:r>
    </w:p>
    <w:p>
      <w:pPr>
        <w:pStyle w:val="ListParagraph"/>
        <w:numPr>
          <w:ilvl w:val="0"/>
          <w:numId w:val="2"/>
        </w:numPr>
        <w:spacing w:before="36" w:after="36"/>
      </w:pPr>
      <w:r>
        <w:rPr>
          <w:rFonts w:ascii="Arial" w:cs="Arial" w:eastAsia="Arial" w:hAnsi="Arial"/>
          <w:sz w:val="21"/>
          <w:szCs w:val="21"/>
        </w:rPr>
        <w:t xml:space="preserve">Expert understanding of climate risk model validation: physical risk assessment models (flood, heat, wildfire — acute and chronic), transition risk models (carbon pricing, technology substitution, policy shock), and their integration into credit risk parameters.</w:t>
      </w:r>
    </w:p>
    <w:p>
      <w:pPr>
        <w:pStyle w:val="ListParagraph"/>
        <w:numPr>
          <w:ilvl w:val="0"/>
          <w:numId w:val="2"/>
        </w:numPr>
        <w:spacing w:before="36" w:after="36"/>
      </w:pPr>
      <w:r>
        <w:rPr>
          <w:rFonts w:ascii="Arial" w:cs="Arial" w:eastAsia="Arial" w:hAnsi="Arial"/>
          <w:sz w:val="21"/>
          <w:szCs w:val="21"/>
        </w:rPr>
        <w:t xml:space="preserve">Experience validating NGFS scenario-aligned models: scenario narrative translation to financial risk drivers, satellite variable selection, and portfolio-level climate-adjusted PD/LGD overlays.</w:t>
      </w:r>
    </w:p>
    <w:p>
      <w:pPr>
        <w:pStyle w:val="ListParagraph"/>
        <w:numPr>
          <w:ilvl w:val="0"/>
          <w:numId w:val="2"/>
        </w:numPr>
        <w:spacing w:before="36" w:after="36"/>
      </w:pPr>
      <w:r>
        <w:rPr>
          <w:rFonts w:ascii="Arial" w:cs="Arial" w:eastAsia="Arial" w:hAnsi="Arial"/>
          <w:sz w:val="21"/>
          <w:szCs w:val="21"/>
        </w:rPr>
        <w:t xml:space="preserve">Ability to assess climate stress testing models as required under PRA SS3/19, CBES, and EBA climate risk guidelines.</w:t>
      </w:r>
    </w:p>
    <w:p>
      <w:pPr>
        <w:pStyle w:val="ListParagraph"/>
        <w:numPr>
          <w:ilvl w:val="0"/>
          <w:numId w:val="2"/>
        </w:numPr>
        <w:spacing w:before="36" w:after="36"/>
      </w:pPr>
      <w:r>
        <w:rPr>
          <w:rFonts w:ascii="Arial" w:cs="Arial" w:eastAsia="Arial" w:hAnsi="Arial"/>
          <w:sz w:val="21"/>
          <w:szCs w:val="21"/>
        </w:rPr>
        <w:t xml:space="preserve">Deep knowledge of ESG rating and scoring model validation: data sourcing (CDP, MSCI, Sustainalytics), aggregation logic, double materiality assessment, and greenwashing / model gaming risk.</w:t>
      </w:r>
    </w:p>
    <w:p>
      <w:pPr>
        <w:pStyle w:val="ListParagraph"/>
        <w:numPr>
          <w:ilvl w:val="0"/>
          <w:numId w:val="2"/>
        </w:numPr>
        <w:spacing w:before="36" w:after="36"/>
      </w:pPr>
      <w:r>
        <w:rPr>
          <w:rFonts w:ascii="Arial" w:cs="Arial" w:eastAsia="Arial" w:hAnsi="Arial"/>
          <w:sz w:val="21"/>
          <w:szCs w:val="21"/>
        </w:rPr>
        <w:t xml:space="preserve">Understanding of green asset ratio (GAR), sustainable finance disclosure regulation (SFDR) model requirements, and EU Taxonomy alignment methodologies.</w:t>
      </w:r>
    </w:p>
    <w:p>
      <w:pPr>
        <w:spacing w:before="60" w:after="60"/>
      </w:pPr>
      <w:r>
        <w:t xml:space="preserve"/>
      </w:r>
    </w:p>
    <w:p>
      <w:pPr>
        <w:spacing w:before="200" w:after="80"/>
      </w:pPr>
      <w:r>
        <w:rPr>
          <w:rFonts w:ascii="Arial" w:cs="Arial" w:eastAsia="Arial" w:hAnsi="Arial"/>
          <w:b/>
          <w:bCs/>
          <w:color w:val="2E6DA4"/>
          <w:sz w:val="23"/>
          <w:szCs w:val="23"/>
        </w:rPr>
        <w:t xml:space="preserve">8. Machine Learning &amp; AI Models in Risk</w:t>
      </w:r>
    </w:p>
    <w:p>
      <w:pPr>
        <w:pStyle w:val="ListParagraph"/>
        <w:numPr>
          <w:ilvl w:val="0"/>
          <w:numId w:val="2"/>
        </w:numPr>
        <w:spacing w:before="36" w:after="36"/>
      </w:pPr>
      <w:r>
        <w:rPr>
          <w:rFonts w:ascii="Arial" w:cs="Arial" w:eastAsia="Arial" w:hAnsi="Arial"/>
          <w:sz w:val="21"/>
          <w:szCs w:val="21"/>
        </w:rPr>
        <w:t xml:space="preserve">Expert-level ability to validate ML/AI models across risk use cases: credit scoring, fraud detection, AML transaction monitoring, market risk forecasting, and PPNR modelling.</w:t>
      </w:r>
    </w:p>
    <w:p>
      <w:pPr>
        <w:pStyle w:val="ListParagraph"/>
        <w:numPr>
          <w:ilvl w:val="0"/>
          <w:numId w:val="2"/>
        </w:numPr>
        <w:spacing w:before="36" w:after="36"/>
      </w:pPr>
      <w:r>
        <w:rPr>
          <w:rFonts w:ascii="Arial" w:cs="Arial" w:eastAsia="Arial" w:hAnsi="Arial"/>
          <w:sz w:val="21"/>
          <w:szCs w:val="21"/>
        </w:rPr>
        <w:t xml:space="preserve">Deep knowledge of ML validation techniques: OOT/OOS testing, feature stability (PSI, CSI), concept drift detection, adversarial robustness testing, and stress testing of ML outputs.</w:t>
      </w:r>
    </w:p>
    <w:p>
      <w:pPr>
        <w:pStyle w:val="ListParagraph"/>
        <w:numPr>
          <w:ilvl w:val="0"/>
          <w:numId w:val="2"/>
        </w:numPr>
        <w:spacing w:before="36" w:after="36"/>
      </w:pPr>
      <w:r>
        <w:rPr>
          <w:rFonts w:ascii="Arial" w:cs="Arial" w:eastAsia="Arial" w:hAnsi="Arial"/>
          <w:sz w:val="21"/>
          <w:szCs w:val="21"/>
        </w:rPr>
        <w:t xml:space="preserve">Ability to evaluate model explainability frameworks (SHAP, LIME, Integrated Gradients, attention mechanisms) and assess their adequacy for regulatory accountability and model owner oversight.</w:t>
      </w:r>
    </w:p>
    <w:p>
      <w:pPr>
        <w:pStyle w:val="ListParagraph"/>
        <w:numPr>
          <w:ilvl w:val="0"/>
          <w:numId w:val="2"/>
        </w:numPr>
        <w:spacing w:before="36" w:after="36"/>
      </w:pPr>
      <w:r>
        <w:rPr>
          <w:rFonts w:ascii="Arial" w:cs="Arial" w:eastAsia="Arial" w:hAnsi="Arial"/>
          <w:sz w:val="21"/>
          <w:szCs w:val="21"/>
        </w:rPr>
        <w:t xml:space="preserve">Experience assessing MLOps governance: CI/CD pipelines, model versioning, automated monitoring, retraining triggers, and shadow model deployment — from a model risk control perspective.</w:t>
      </w:r>
    </w:p>
    <w:p>
      <w:pPr>
        <w:pStyle w:val="ListParagraph"/>
        <w:numPr>
          <w:ilvl w:val="0"/>
          <w:numId w:val="2"/>
        </w:numPr>
        <w:spacing w:before="36" w:after="36"/>
      </w:pPr>
      <w:r>
        <w:rPr>
          <w:rFonts w:ascii="Arial" w:cs="Arial" w:eastAsia="Arial" w:hAnsi="Arial"/>
          <w:sz w:val="21"/>
          <w:szCs w:val="21"/>
        </w:rPr>
        <w:t xml:space="preserve">Expertise in fairness and bias assessment: protected characteristic analysis, disparate impact testing, and calibration across demographic groups in credit decisioning models.</w:t>
      </w:r>
    </w:p>
    <w:p>
      <w:pPr>
        <w:pStyle w:val="ListParagraph"/>
        <w:numPr>
          <w:ilvl w:val="0"/>
          <w:numId w:val="2"/>
        </w:numPr>
        <w:spacing w:before="36" w:after="36"/>
      </w:pPr>
      <w:r>
        <w:rPr>
          <w:rFonts w:ascii="Arial" w:cs="Arial" w:eastAsia="Arial" w:hAnsi="Arial"/>
          <w:sz w:val="21"/>
          <w:szCs w:val="21"/>
        </w:rPr>
        <w:t xml:space="preserve">Strong awareness of emerging AI governance frameworks: EU AI Act risk classification, PRA/FCA expectations on AI model risk, and implications for SR 11-7 / SS1/23 application to AI systems.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Required Qualifications &amp; Experience</w:t>
      </w:r>
    </w:p>
    <w:p>
      <w:pPr>
        <w:pStyle w:val="ListParagraph"/>
        <w:numPr>
          <w:ilvl w:val="0"/>
          <w:numId w:val="2"/>
        </w:numPr>
        <w:spacing w:before="36" w:after="36"/>
      </w:pPr>
      <w:r>
        <w:rPr>
          <w:rFonts w:ascii="Arial" w:cs="Arial" w:eastAsia="Arial" w:hAnsi="Arial"/>
          <w:sz w:val="21"/>
          <w:szCs w:val="21"/>
        </w:rPr>
        <w:t xml:space="preserve">Master's degree or PhD in Mathematics, Statistics, Physics, Financial Engineering, Computer Science, or equivalent quantitative discipline.</w:t>
      </w:r>
    </w:p>
    <w:p>
      <w:pPr>
        <w:pStyle w:val="ListParagraph"/>
        <w:numPr>
          <w:ilvl w:val="0"/>
          <w:numId w:val="2"/>
        </w:numPr>
        <w:spacing w:before="36" w:after="36"/>
      </w:pPr>
      <w:r>
        <w:rPr>
          <w:rFonts w:ascii="Arial" w:cs="Arial" w:eastAsia="Arial" w:hAnsi="Arial"/>
          <w:sz w:val="21"/>
          <w:szCs w:val="21"/>
        </w:rPr>
        <w:t xml:space="preserve">8+ years of experience in model validation, quantitative risk, or model development within a major financial institution, regulatory body, or risk consultancy.</w:t>
      </w:r>
    </w:p>
    <w:p>
      <w:pPr>
        <w:pStyle w:val="ListParagraph"/>
        <w:numPr>
          <w:ilvl w:val="0"/>
          <w:numId w:val="2"/>
        </w:numPr>
        <w:spacing w:before="36" w:after="36"/>
      </w:pPr>
      <w:r>
        <w:rPr>
          <w:rFonts w:ascii="Arial" w:cs="Arial" w:eastAsia="Arial" w:hAnsi="Arial"/>
          <w:sz w:val="21"/>
          <w:szCs w:val="21"/>
        </w:rPr>
        <w:t xml:space="preserve">Proven track record of leading end-to-end validations independently across multiple complex model domains.</w:t>
      </w:r>
    </w:p>
    <w:p>
      <w:pPr>
        <w:pStyle w:val="ListParagraph"/>
        <w:numPr>
          <w:ilvl w:val="0"/>
          <w:numId w:val="2"/>
        </w:numPr>
        <w:spacing w:before="36" w:after="36"/>
      </w:pPr>
      <w:r>
        <w:rPr>
          <w:rFonts w:ascii="Arial" w:cs="Arial" w:eastAsia="Arial" w:hAnsi="Arial"/>
          <w:sz w:val="21"/>
          <w:szCs w:val="21"/>
        </w:rPr>
        <w:t xml:space="preserve">Deep expertise in at least three of the eight model domains described above, with working knowledge across all.</w:t>
      </w:r>
    </w:p>
    <w:p>
      <w:pPr>
        <w:pStyle w:val="ListParagraph"/>
        <w:numPr>
          <w:ilvl w:val="0"/>
          <w:numId w:val="2"/>
        </w:numPr>
        <w:spacing w:before="36" w:after="36"/>
      </w:pPr>
      <w:r>
        <w:rPr>
          <w:rFonts w:ascii="Arial" w:cs="Arial" w:eastAsia="Arial" w:hAnsi="Arial"/>
          <w:sz w:val="21"/>
          <w:szCs w:val="21"/>
        </w:rPr>
        <w:t xml:space="preserve">Expert Python or R skills; experience building benchmark models and automated testing frameworks.</w:t>
      </w:r>
    </w:p>
    <w:p>
      <w:pPr>
        <w:pStyle w:val="ListParagraph"/>
        <w:numPr>
          <w:ilvl w:val="0"/>
          <w:numId w:val="2"/>
        </w:numPr>
        <w:spacing w:before="36" w:after="36"/>
      </w:pPr>
      <w:r>
        <w:rPr>
          <w:rFonts w:ascii="Arial" w:cs="Arial" w:eastAsia="Arial" w:hAnsi="Arial"/>
          <w:sz w:val="21"/>
          <w:szCs w:val="21"/>
        </w:rPr>
        <w:t xml:space="preserve">Comprehensive knowledge of the UK/EU regulatory model risk landscape: PRA SS1/23, SR 11-7, Basel IV, FRTB, IFRS 9, EBA model risk guidelines.</w:t>
      </w:r>
    </w:p>
    <w:p>
      <w:pPr>
        <w:pStyle w:val="ListParagraph"/>
        <w:numPr>
          <w:ilvl w:val="0"/>
          <w:numId w:val="2"/>
        </w:numPr>
        <w:spacing w:before="36" w:after="36"/>
      </w:pPr>
      <w:r>
        <w:rPr>
          <w:rFonts w:ascii="Arial" w:cs="Arial" w:eastAsia="Arial" w:hAnsi="Arial"/>
          <w:sz w:val="21"/>
          <w:szCs w:val="21"/>
        </w:rPr>
        <w:t xml:space="preserve">Demonstrated experience in regulatory engagement: drafting responses, hosting supervisory visits, and managing model risk findings with the PRA or equivalent.</w:t>
      </w:r>
    </w:p>
    <w:p>
      <w:pPr>
        <w:pStyle w:val="ListParagraph"/>
        <w:numPr>
          <w:ilvl w:val="0"/>
          <w:numId w:val="2"/>
        </w:numPr>
        <w:spacing w:before="36" w:after="36"/>
      </w:pPr>
      <w:r>
        <w:rPr>
          <w:rFonts w:ascii="Arial" w:cs="Arial" w:eastAsia="Arial" w:hAnsi="Arial"/>
          <w:sz w:val="21"/>
          <w:szCs w:val="21"/>
        </w:rPr>
        <w:t xml:space="preserve">Exceptional communication skills: ability to present complex model risk issues with clarity to Boards, regulators, and C-suite audiences.</w:t>
      </w:r>
    </w:p>
    <w:p>
      <w:pPr>
        <w:pStyle w:val="ListParagraph"/>
        <w:numPr>
          <w:ilvl w:val="0"/>
          <w:numId w:val="2"/>
        </w:numPr>
        <w:spacing w:before="36" w:after="36"/>
      </w:pPr>
      <w:r>
        <w:rPr>
          <w:rFonts w:ascii="Arial" w:cs="Arial" w:eastAsia="Arial" w:hAnsi="Arial"/>
          <w:sz w:val="21"/>
          <w:szCs w:val="21"/>
        </w:rPr>
        <w:t xml:space="preserve">Experience managing and developing a team of quantitative professionals.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Desirable</w:t>
      </w:r>
    </w:p>
    <w:p>
      <w:pPr>
        <w:pStyle w:val="ListParagraph"/>
        <w:numPr>
          <w:ilvl w:val="0"/>
          <w:numId w:val="2"/>
        </w:numPr>
        <w:spacing w:before="36" w:after="36"/>
      </w:pPr>
      <w:r>
        <w:rPr>
          <w:rFonts w:ascii="Arial" w:cs="Arial" w:eastAsia="Arial" w:hAnsi="Arial"/>
          <w:sz w:val="21"/>
          <w:szCs w:val="21"/>
        </w:rPr>
        <w:t xml:space="preserve">CFA, FRM, PRM qualification or equivalent.</w:t>
      </w:r>
    </w:p>
    <w:p>
      <w:pPr>
        <w:pStyle w:val="ListParagraph"/>
        <w:numPr>
          <w:ilvl w:val="0"/>
          <w:numId w:val="2"/>
        </w:numPr>
        <w:spacing w:before="36" w:after="36"/>
      </w:pPr>
      <w:r>
        <w:rPr>
          <w:rFonts w:ascii="Arial" w:cs="Arial" w:eastAsia="Arial" w:hAnsi="Arial"/>
          <w:sz w:val="21"/>
          <w:szCs w:val="21"/>
        </w:rPr>
        <w:t xml:space="preserve">Experience with IMM or IMA regulatory approval processes.</w:t>
      </w:r>
    </w:p>
    <w:p>
      <w:pPr>
        <w:pStyle w:val="ListParagraph"/>
        <w:numPr>
          <w:ilvl w:val="0"/>
          <w:numId w:val="2"/>
        </w:numPr>
        <w:spacing w:before="36" w:after="36"/>
      </w:pPr>
      <w:r>
        <w:rPr>
          <w:rFonts w:ascii="Arial" w:cs="Arial" w:eastAsia="Arial" w:hAnsi="Arial"/>
          <w:sz w:val="21"/>
          <w:szCs w:val="21"/>
        </w:rPr>
        <w:t xml:space="preserve">Published research or thought leadership in model risk, quantitative finance, or machine learning.</w:t>
      </w:r>
    </w:p>
    <w:p>
      <w:pPr>
        <w:pStyle w:val="ListParagraph"/>
        <w:numPr>
          <w:ilvl w:val="0"/>
          <w:numId w:val="2"/>
        </w:numPr>
        <w:spacing w:before="36" w:after="36"/>
      </w:pPr>
      <w:r>
        <w:rPr>
          <w:rFonts w:ascii="Arial" w:cs="Arial" w:eastAsia="Arial" w:hAnsi="Arial"/>
          <w:sz w:val="21"/>
          <w:szCs w:val="21"/>
        </w:rPr>
        <w:t xml:space="preserve">Experience with the EU AI Act or regulatory AI governance frameworks.</w:t>
      </w:r>
    </w:p>
    <w:p>
      <w:pPr>
        <w:spacing w:before="60" w:after="60"/>
      </w:pPr>
      <w:r>
        <w:t xml:space="preserve"/>
      </w:r>
    </w:p>
    <w:p>
      <w:pPr>
        <w:pBdr>
          <w:bottom w:val="single" w:color="1F3864" w:sz="6" w:space="4"/>
        </w:pBdr>
        <w:spacing w:before="320" w:after="120"/>
      </w:pPr>
      <w:r>
        <w:rPr>
          <w:rFonts w:ascii="Arial" w:cs="Arial" w:eastAsia="Arial" w:hAnsi="Arial"/>
          <w:b/>
          <w:bCs/>
          <w:color w:val="1F3864"/>
          <w:sz w:val="28"/>
          <w:szCs w:val="28"/>
        </w:rPr>
        <w:t xml:space="preserve">What We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Competitive Salary</w:t>
            </w:r>
          </w:p>
          <w:p>
            <w:r>
              <w:rPr>
                <w:rFonts w:ascii="Arial" w:cs="Arial" w:eastAsia="Arial" w:hAnsi="Arial"/>
                <w:color w:val="444444"/>
                <w:sz w:val="20"/>
                <w:szCs w:val="20"/>
              </w:rPr>
              <w:t xml:space="preserve">Top-quartile Director/SVP-level package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Annual Bonus</w:t>
            </w:r>
          </w:p>
          <w:p>
            <w:r>
              <w:rPr>
                <w:rFonts w:ascii="Arial" w:cs="Arial" w:eastAsia="Arial" w:hAnsi="Arial"/>
                <w:color w:val="444444"/>
                <w:sz w:val="20"/>
                <w:szCs w:val="20"/>
              </w:rPr>
              <w:t xml:space="preserve">Performance-linked, up to 40% of base salary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Hybrid Working</w:t>
            </w:r>
          </w:p>
          <w:p>
            <w:r>
              <w:rPr>
                <w:rFonts w:ascii="Arial" w:cs="Arial" w:eastAsia="Arial" w:hAnsi="Arial"/>
                <w:color w:val="444444"/>
                <w:sz w:val="20"/>
                <w:szCs w:val="20"/>
              </w:rPr>
              <w:t xml:space="preserve">3 days in-office, 2 days remote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Pension</w:t>
            </w:r>
          </w:p>
          <w:p>
            <w:r>
              <w:rPr>
                <w:rFonts w:ascii="Arial" w:cs="Arial" w:eastAsia="Arial" w:hAnsi="Arial"/>
                <w:color w:val="444444"/>
                <w:sz w:val="20"/>
                <w:szCs w:val="20"/>
              </w:rPr>
              <w:t xml:space="preserve">Employer contribution up to 12%</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Learning &amp; Development</w:t>
            </w:r>
          </w:p>
          <w:p>
            <w:r>
              <w:rPr>
                <w:rFonts w:ascii="Arial" w:cs="Arial" w:eastAsia="Arial" w:hAnsi="Arial"/>
                <w:color w:val="444444"/>
                <w:sz w:val="20"/>
                <w:szCs w:val="20"/>
              </w:rPr>
              <w:t xml:space="preserve">Sponsored qualifications, conference speaking &amp; research budget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Wellbeing</w:t>
            </w:r>
          </w:p>
          <w:p>
            <w:r>
              <w:rPr>
                <w:rFonts w:ascii="Arial" w:cs="Arial" w:eastAsia="Arial" w:hAnsi="Arial"/>
                <w:color w:val="444444"/>
                <w:sz w:val="20"/>
                <w:szCs w:val="20"/>
              </w:rPr>
              <w:t xml:space="preserve">Private medical (family), life assurance &amp; EAP</w:t>
            </w:r>
          </w:p>
        </w:tc>
      </w:tr>
    </w:tbl>
    <w:p>
      <w:pPr>
        <w:spacing w:before="60" w:after="60"/>
      </w:pPr>
      <w:r>
        <w:t xml:space="preserve"/>
      </w:r>
    </w:p>
    <w:p>
      <w:pPr>
        <w:spacing w:before="60" w:after="60"/>
      </w:pPr>
      <w:r>
        <w:rPr>
          <w:rFonts w:ascii="Arial" w:cs="Arial" w:eastAsia="Arial" w:hAnsi="Arial"/>
          <w:i/>
          <w:iCs/>
          <w:color w:val="666666"/>
          <w:sz w:val="21"/>
          <w:szCs w:val="21"/>
        </w:rPr>
        <w:t xml:space="preserve">We are an equal opportunity employer committed to diversity and inclusion. We welcome applications from all qualified individuals regardless of background.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2026-02-22T11:57:58.177Z</dcterms:created>
  <dcterms:modified xsi:type="dcterms:W3CDTF">2026-02-22T11:57:58.178Z</dcterms:modified>
</cp:coreProperties>
</file>

<file path=docProps/custom.xml><?xml version="1.0" encoding="utf-8"?>
<Properties xmlns="http://schemas.openxmlformats.org/officeDocument/2006/custom-properties" xmlns:vt="http://schemas.openxmlformats.org/officeDocument/2006/docPropsVTypes"/>
</file>