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0" w:after="60"/>
        <w:jc w:val="left"/>
      </w:pPr>
      <w:r>
        <w:rPr>
          <w:rFonts w:ascii="Arial" w:cs="Arial" w:eastAsia="Arial" w:hAnsi="Arial"/>
          <w:b/>
          <w:bCs/>
          <w:color w:val="1F3864"/>
          <w:sz w:val="52"/>
          <w:szCs w:val="52"/>
        </w:rPr>
        <w:t xml:space="preserve">SENIOR MODEL VALIDATOR</w:t>
      </w:r>
    </w:p>
    <w:p>
      <w:pPr>
        <w:spacing w:before="0" w:after="200"/>
      </w:pPr>
      <w:r>
        <w:rPr>
          <w:rFonts w:ascii="Arial" w:cs="Arial" w:eastAsia="Arial" w:hAnsi="Arial"/>
          <w:color w:val="666666"/>
          <w:sz w:val="24"/>
          <w:szCs w:val="24"/>
        </w:rPr>
        <w:t xml:space="preserve">Model Risk Management  |  Financial Services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D6E4F0" w:val="clear"/>
            <w:tcMar>
              <w:top w:type="dxa" w:w="100"/>
              <w:left w:type="dxa" w:w="120"/>
              <w:bottom w:type="dxa" w:w="100"/>
              <w:right w:type="dxa" w:w="120"/>
            </w:tcMar>
          </w:tcPr>
          <w:p>
            <w:r>
              <w:rPr>
                <w:rFonts w:ascii="Arial" w:cs="Arial" w:eastAsia="Arial" w:hAnsi="Arial"/>
                <w:b/>
                <w:bCs/>
                <w:color w:val="1F3864"/>
                <w:sz w:val="18"/>
                <w:szCs w:val="18"/>
              </w:rPr>
              <w:t xml:space="preserve">Department</w:t>
            </w:r>
          </w:p>
          <w:p>
            <w:r>
              <w:rPr>
                <w:rFonts w:ascii="Arial" w:cs="Arial" w:eastAsia="Arial" w:hAnsi="Arial"/>
                <w:sz w:val="20"/>
                <w:szCs w:val="20"/>
              </w:rPr>
              <w:t xml:space="preserve">Model Risk Management</w:t>
            </w:r>
          </w:p>
        </w:tc>
        <w:tc>
          <w:tcPr>
            <w:tcW w:type="dxa" w:w="2340"/>
            <w:tcBorders>
              <w:top w:val="single" w:color="CCCCCC" w:sz="1"/>
              <w:left w:val="single" w:color="CCCCCC" w:sz="1"/>
              <w:bottom w:val="single" w:color="CCCCCC" w:sz="1"/>
              <w:right w:val="single" w:color="CCCCCC" w:sz="1"/>
            </w:tcBorders>
            <w:shd w:fill="D6E4F0" w:val="clear"/>
            <w:tcMar>
              <w:top w:type="dxa" w:w="100"/>
              <w:left w:type="dxa" w:w="120"/>
              <w:bottom w:type="dxa" w:w="100"/>
              <w:right w:type="dxa" w:w="120"/>
            </w:tcMar>
          </w:tcPr>
          <w:p>
            <w:r>
              <w:rPr>
                <w:rFonts w:ascii="Arial" w:cs="Arial" w:eastAsia="Arial" w:hAnsi="Arial"/>
                <w:b/>
                <w:bCs/>
                <w:color w:val="1F3864"/>
                <w:sz w:val="18"/>
                <w:szCs w:val="18"/>
              </w:rPr>
              <w:t xml:space="preserve">Location</w:t>
            </w:r>
          </w:p>
          <w:p>
            <w:r>
              <w:rPr>
                <w:rFonts w:ascii="Arial" w:cs="Arial" w:eastAsia="Arial" w:hAnsi="Arial"/>
                <w:sz w:val="20"/>
                <w:szCs w:val="20"/>
              </w:rPr>
              <w:t xml:space="preserve">London / Hybrid</w:t>
            </w:r>
          </w:p>
        </w:tc>
        <w:tc>
          <w:tcPr>
            <w:tcW w:type="dxa" w:w="2340"/>
            <w:tcBorders>
              <w:top w:val="single" w:color="CCCCCC" w:sz="1"/>
              <w:left w:val="single" w:color="CCCCCC" w:sz="1"/>
              <w:bottom w:val="single" w:color="CCCCCC" w:sz="1"/>
              <w:right w:val="single" w:color="CCCCCC" w:sz="1"/>
            </w:tcBorders>
            <w:shd w:fill="D6E4F0" w:val="clear"/>
            <w:tcMar>
              <w:top w:type="dxa" w:w="100"/>
              <w:left w:type="dxa" w:w="120"/>
              <w:bottom w:type="dxa" w:w="100"/>
              <w:right w:type="dxa" w:w="120"/>
            </w:tcMar>
          </w:tcPr>
          <w:p>
            <w:r>
              <w:rPr>
                <w:rFonts w:ascii="Arial" w:cs="Arial" w:eastAsia="Arial" w:hAnsi="Arial"/>
                <w:b/>
                <w:bCs/>
                <w:color w:val="1F3864"/>
                <w:sz w:val="18"/>
                <w:szCs w:val="18"/>
              </w:rPr>
              <w:t xml:space="preserve">Reporting To</w:t>
            </w:r>
          </w:p>
          <w:p>
            <w:r>
              <w:rPr>
                <w:rFonts w:ascii="Arial" w:cs="Arial" w:eastAsia="Arial" w:hAnsi="Arial"/>
                <w:sz w:val="20"/>
                <w:szCs w:val="20"/>
              </w:rPr>
              <w:t xml:space="preserve">Head of Model Risk</w:t>
            </w:r>
          </w:p>
        </w:tc>
        <w:tc>
          <w:tcPr>
            <w:tcW w:type="dxa" w:w="2340"/>
            <w:tcBorders>
              <w:top w:val="single" w:color="CCCCCC" w:sz="1"/>
              <w:left w:val="single" w:color="CCCCCC" w:sz="1"/>
              <w:bottom w:val="single" w:color="CCCCCC" w:sz="1"/>
              <w:right w:val="single" w:color="CCCCCC" w:sz="1"/>
            </w:tcBorders>
            <w:shd w:fill="D6E4F0" w:val="clear"/>
            <w:tcMar>
              <w:top w:type="dxa" w:w="100"/>
              <w:left w:type="dxa" w:w="120"/>
              <w:bottom w:type="dxa" w:w="100"/>
              <w:right w:type="dxa" w:w="120"/>
            </w:tcMar>
          </w:tcPr>
          <w:p>
            <w:r>
              <w:rPr>
                <w:rFonts w:ascii="Arial" w:cs="Arial" w:eastAsia="Arial" w:hAnsi="Arial"/>
                <w:b/>
                <w:bCs/>
                <w:color w:val="1F3864"/>
                <w:sz w:val="18"/>
                <w:szCs w:val="18"/>
              </w:rPr>
              <w:t xml:space="preserve">Employment</w:t>
            </w:r>
          </w:p>
          <w:p>
            <w:r>
              <w:rPr>
                <w:rFonts w:ascii="Arial" w:cs="Arial" w:eastAsia="Arial" w:hAnsi="Arial"/>
                <w:sz w:val="20"/>
                <w:szCs w:val="20"/>
              </w:rPr>
              <w:t xml:space="preserve">Full-Time, Permanent</w:t>
            </w:r>
          </w:p>
        </w:tc>
      </w:tr>
    </w:tbl>
    <w:p>
      <w:pPr>
        <w:spacing w:before="80" w:after="80"/>
      </w:pPr>
      <w:r>
        <w:t xml:space="preserve"/>
      </w:r>
    </w:p>
    <w:p>
      <w:pPr>
        <w:pStyle w:val="Heading1"/>
        <w:pBdr>
          <w:bottom w:val="single" w:color="1F3864" w:sz="6" w:space="4"/>
        </w:pBdr>
        <w:spacing w:before="300" w:after="120"/>
      </w:pPr>
      <w:r>
        <w:rPr>
          <w:rFonts w:ascii="Arial" w:cs="Arial" w:eastAsia="Arial" w:hAnsi="Arial"/>
          <w:b/>
          <w:bCs/>
          <w:color w:val="1F3864"/>
          <w:sz w:val="28"/>
          <w:szCs w:val="28"/>
        </w:rPr>
        <w:t xml:space="preserve">About the Role</w:t>
      </w:r>
    </w:p>
    <w:p>
      <w:pPr>
        <w:spacing w:before="60" w:after="60"/>
      </w:pPr>
      <w:r>
        <w:rPr>
          <w:rFonts w:ascii="Arial" w:cs="Arial" w:eastAsia="Arial" w:hAnsi="Arial"/>
          <w:sz w:val="22"/>
          <w:szCs w:val="22"/>
        </w:rPr>
        <w:t xml:space="preserve">We are seeking an experienced Senior Model Validator to join our Model Risk Management (MRM) team within a leading UK financial institution. In this role, you will be responsible for the independent validation of quantitative models used across credit risk, market risk, and regulatory capital, ensuring they meet the highest standards of accuracy, robustness, and regulatory compliance.</w:t>
      </w:r>
    </w:p>
    <w:p>
      <w:pPr>
        <w:spacing w:before="80" w:after="80"/>
      </w:pPr>
      <w:r>
        <w:t xml:space="preserve"/>
      </w:r>
    </w:p>
    <w:p>
      <w:pPr>
        <w:spacing w:before="60" w:after="60"/>
      </w:pPr>
      <w:r>
        <w:rPr>
          <w:rFonts w:ascii="Arial" w:cs="Arial" w:eastAsia="Arial" w:hAnsi="Arial"/>
          <w:sz w:val="22"/>
          <w:szCs w:val="22"/>
        </w:rPr>
        <w:t xml:space="preserve">This is a high-impact position that sits at the intersection of quantitative finance, risk governance, and regulatory engagement, offering significant exposure to senior stakeholders and a diverse model portfolio.</w:t>
      </w:r>
    </w:p>
    <w:p>
      <w:pPr>
        <w:spacing w:before="80" w:after="80"/>
      </w:pPr>
      <w:r>
        <w:t xml:space="preserve"/>
      </w:r>
    </w:p>
    <w:p>
      <w:pPr>
        <w:pStyle w:val="Heading1"/>
        <w:pBdr>
          <w:bottom w:val="single" w:color="1F3864" w:sz="6" w:space="4"/>
        </w:pBdr>
        <w:spacing w:before="300" w:after="120"/>
      </w:pPr>
      <w:r>
        <w:rPr>
          <w:rFonts w:ascii="Arial" w:cs="Arial" w:eastAsia="Arial" w:hAnsi="Arial"/>
          <w:b/>
          <w:bCs/>
          <w:color w:val="1F3864"/>
          <w:sz w:val="28"/>
          <w:szCs w:val="28"/>
        </w:rPr>
        <w:t xml:space="preserve">Key Responsibilities</w:t>
      </w:r>
    </w:p>
    <w:p>
      <w:pPr>
        <w:spacing w:before="200" w:after="80"/>
      </w:pPr>
      <w:r>
        <w:rPr>
          <w:rFonts w:ascii="Arial" w:cs="Arial" w:eastAsia="Arial" w:hAnsi="Arial"/>
          <w:b/>
          <w:bCs/>
          <w:color w:val="1F3864"/>
          <w:sz w:val="24"/>
          <w:szCs w:val="24"/>
        </w:rPr>
        <w:t xml:space="preserve">Model Validation &amp; Review</w:t>
      </w:r>
    </w:p>
    <w:p>
      <w:pPr>
        <w:pStyle w:val="ListParagraph"/>
        <w:numPr>
          <w:ilvl w:val="0"/>
          <w:numId w:val="2"/>
        </w:numPr>
        <w:spacing w:before="40" w:after="40"/>
      </w:pPr>
      <w:r>
        <w:rPr>
          <w:rFonts w:ascii="Arial" w:cs="Arial" w:eastAsia="Arial" w:hAnsi="Arial"/>
          <w:sz w:val="22"/>
          <w:szCs w:val="22"/>
        </w:rPr>
        <w:t xml:space="preserve">Lead end-to-end independent validation of credit, market, and operational risk models including PD, LGD, EAD, IFRS 9, stress testing, and VaR models.</w:t>
      </w:r>
    </w:p>
    <w:p>
      <w:pPr>
        <w:pStyle w:val="ListParagraph"/>
        <w:numPr>
          <w:ilvl w:val="0"/>
          <w:numId w:val="2"/>
        </w:numPr>
        <w:spacing w:before="40" w:after="40"/>
      </w:pPr>
      <w:r>
        <w:rPr>
          <w:rFonts w:ascii="Arial" w:cs="Arial" w:eastAsia="Arial" w:hAnsi="Arial"/>
          <w:sz w:val="22"/>
          <w:szCs w:val="22"/>
        </w:rPr>
        <w:t xml:space="preserve">Conduct rigorous conceptual soundness reviews, benchmarking analyses, outcome testing, and sensitivity analyses.</w:t>
      </w:r>
    </w:p>
    <w:p>
      <w:pPr>
        <w:pStyle w:val="ListParagraph"/>
        <w:numPr>
          <w:ilvl w:val="0"/>
          <w:numId w:val="2"/>
        </w:numPr>
        <w:spacing w:before="40" w:after="40"/>
      </w:pPr>
      <w:r>
        <w:rPr>
          <w:rFonts w:ascii="Arial" w:cs="Arial" w:eastAsia="Arial" w:hAnsi="Arial"/>
          <w:sz w:val="22"/>
          <w:szCs w:val="22"/>
        </w:rPr>
        <w:t xml:space="preserve">Assess model assumptions, limitations, and areas of uncertainty; assign model risk ratings and communicate findings clearly.</w:t>
      </w:r>
    </w:p>
    <w:p>
      <w:pPr>
        <w:pStyle w:val="ListParagraph"/>
        <w:numPr>
          <w:ilvl w:val="0"/>
          <w:numId w:val="2"/>
        </w:numPr>
        <w:spacing w:before="40" w:after="40"/>
      </w:pPr>
      <w:r>
        <w:rPr>
          <w:rFonts w:ascii="Arial" w:cs="Arial" w:eastAsia="Arial" w:hAnsi="Arial"/>
          <w:sz w:val="22"/>
          <w:szCs w:val="22"/>
        </w:rPr>
        <w:t xml:space="preserve">Produce high-quality validation reports suitable for review by senior management and regulatory bodies.</w:t>
      </w:r>
    </w:p>
    <w:p>
      <w:pPr>
        <w:spacing w:before="80" w:after="80"/>
      </w:pPr>
      <w:r>
        <w:t xml:space="preserve"/>
      </w:r>
    </w:p>
    <w:p>
      <w:pPr>
        <w:spacing w:before="200" w:after="80"/>
      </w:pPr>
      <w:r>
        <w:rPr>
          <w:rFonts w:ascii="Arial" w:cs="Arial" w:eastAsia="Arial" w:hAnsi="Arial"/>
          <w:b/>
          <w:bCs/>
          <w:color w:val="1F3864"/>
          <w:sz w:val="24"/>
          <w:szCs w:val="24"/>
        </w:rPr>
        <w:t xml:space="preserve">Regulatory &amp; Governance</w:t>
      </w:r>
    </w:p>
    <w:p>
      <w:pPr>
        <w:pStyle w:val="ListParagraph"/>
        <w:numPr>
          <w:ilvl w:val="0"/>
          <w:numId w:val="2"/>
        </w:numPr>
        <w:spacing w:before="40" w:after="40"/>
      </w:pPr>
      <w:r>
        <w:rPr>
          <w:rFonts w:ascii="Arial" w:cs="Arial" w:eastAsia="Arial" w:hAnsi="Arial"/>
          <w:sz w:val="22"/>
          <w:szCs w:val="22"/>
        </w:rPr>
        <w:t xml:space="preserve">Ensure models comply with relevant regulatory frameworks including PRA SS1/23, EBA guidelines, IFRS 9, and Basel IV requirements.</w:t>
      </w:r>
    </w:p>
    <w:p>
      <w:pPr>
        <w:pStyle w:val="ListParagraph"/>
        <w:numPr>
          <w:ilvl w:val="0"/>
          <w:numId w:val="2"/>
        </w:numPr>
        <w:spacing w:before="40" w:after="40"/>
      </w:pPr>
      <w:r>
        <w:rPr>
          <w:rFonts w:ascii="Arial" w:cs="Arial" w:eastAsia="Arial" w:hAnsi="Arial"/>
          <w:sz w:val="22"/>
          <w:szCs w:val="22"/>
        </w:rPr>
        <w:t xml:space="preserve">Support regulatory submissions and respond to supervisory enquiries related to model risk.</w:t>
      </w:r>
    </w:p>
    <w:p>
      <w:pPr>
        <w:pStyle w:val="ListParagraph"/>
        <w:numPr>
          <w:ilvl w:val="0"/>
          <w:numId w:val="2"/>
        </w:numPr>
        <w:spacing w:before="40" w:after="40"/>
      </w:pPr>
      <w:r>
        <w:rPr>
          <w:rFonts w:ascii="Arial" w:cs="Arial" w:eastAsia="Arial" w:hAnsi="Arial"/>
          <w:sz w:val="22"/>
          <w:szCs w:val="22"/>
        </w:rPr>
        <w:t xml:space="preserve">Maintain the model inventory and track remediation of validation findings to closure.</w:t>
      </w:r>
    </w:p>
    <w:p>
      <w:pPr>
        <w:pStyle w:val="ListParagraph"/>
        <w:numPr>
          <w:ilvl w:val="0"/>
          <w:numId w:val="2"/>
        </w:numPr>
        <w:spacing w:before="40" w:after="40"/>
      </w:pPr>
      <w:r>
        <w:rPr>
          <w:rFonts w:ascii="Arial" w:cs="Arial" w:eastAsia="Arial" w:hAnsi="Arial"/>
          <w:sz w:val="22"/>
          <w:szCs w:val="22"/>
        </w:rPr>
        <w:t xml:space="preserve">Contribute to the development and continuous improvement of the MRM framework, policies, and standards.</w:t>
      </w:r>
    </w:p>
    <w:p>
      <w:pPr>
        <w:spacing w:before="80" w:after="80"/>
      </w:pPr>
      <w:r>
        <w:t xml:space="preserve"/>
      </w:r>
    </w:p>
    <w:p>
      <w:pPr>
        <w:spacing w:before="200" w:after="80"/>
      </w:pPr>
      <w:r>
        <w:rPr>
          <w:rFonts w:ascii="Arial" w:cs="Arial" w:eastAsia="Arial" w:hAnsi="Arial"/>
          <w:b/>
          <w:bCs/>
          <w:color w:val="1F3864"/>
          <w:sz w:val="24"/>
          <w:szCs w:val="24"/>
        </w:rPr>
        <w:t xml:space="preserve">Stakeholder Engagement</w:t>
      </w:r>
    </w:p>
    <w:p>
      <w:pPr>
        <w:pStyle w:val="ListParagraph"/>
        <w:numPr>
          <w:ilvl w:val="0"/>
          <w:numId w:val="2"/>
        </w:numPr>
        <w:spacing w:before="40" w:after="40"/>
      </w:pPr>
      <w:r>
        <w:rPr>
          <w:rFonts w:ascii="Arial" w:cs="Arial" w:eastAsia="Arial" w:hAnsi="Arial"/>
          <w:sz w:val="22"/>
          <w:szCs w:val="22"/>
        </w:rPr>
        <w:t xml:space="preserve">Collaborate with model developers, Front Office quants, Finance, and Risk teams to understand model use cases and business context.</w:t>
      </w:r>
    </w:p>
    <w:p>
      <w:pPr>
        <w:pStyle w:val="ListParagraph"/>
        <w:numPr>
          <w:ilvl w:val="0"/>
          <w:numId w:val="2"/>
        </w:numPr>
        <w:spacing w:before="40" w:after="40"/>
      </w:pPr>
      <w:r>
        <w:rPr>
          <w:rFonts w:ascii="Arial" w:cs="Arial" w:eastAsia="Arial" w:hAnsi="Arial"/>
          <w:sz w:val="22"/>
          <w:szCs w:val="22"/>
        </w:rPr>
        <w:t xml:space="preserve">Present validation findings and risk assessments to model owners, risk committees, and senior management.</w:t>
      </w:r>
    </w:p>
    <w:p>
      <w:pPr>
        <w:pStyle w:val="ListParagraph"/>
        <w:numPr>
          <w:ilvl w:val="0"/>
          <w:numId w:val="2"/>
        </w:numPr>
        <w:spacing w:before="40" w:after="40"/>
      </w:pPr>
      <w:r>
        <w:rPr>
          <w:rFonts w:ascii="Arial" w:cs="Arial" w:eastAsia="Arial" w:hAnsi="Arial"/>
          <w:sz w:val="22"/>
          <w:szCs w:val="22"/>
        </w:rPr>
        <w:t xml:space="preserve">Mentor junior validators and contribute to knowledge sharing within the MRM team.</w:t>
      </w:r>
    </w:p>
    <w:p>
      <w:pPr>
        <w:spacing w:before="80" w:after="80"/>
      </w:pPr>
      <w:r>
        <w:t xml:space="preserve"/>
      </w:r>
    </w:p>
    <w:p>
      <w:pPr>
        <w:pStyle w:val="Heading1"/>
        <w:pBdr>
          <w:bottom w:val="single" w:color="1F3864" w:sz="6" w:space="4"/>
        </w:pBdr>
        <w:spacing w:before="300" w:after="120"/>
      </w:pPr>
      <w:r>
        <w:rPr>
          <w:rFonts w:ascii="Arial" w:cs="Arial" w:eastAsia="Arial" w:hAnsi="Arial"/>
          <w:b/>
          <w:bCs/>
          <w:color w:val="1F3864"/>
          <w:sz w:val="28"/>
          <w:szCs w:val="28"/>
        </w:rPr>
        <w:t xml:space="preserve">Required Qualifications &amp; Experience</w:t>
      </w:r>
    </w:p>
    <w:p>
      <w:pPr>
        <w:pStyle w:val="ListParagraph"/>
        <w:numPr>
          <w:ilvl w:val="0"/>
          <w:numId w:val="2"/>
        </w:numPr>
        <w:spacing w:before="40" w:after="40"/>
      </w:pPr>
      <w:r>
        <w:rPr>
          <w:rFonts w:ascii="Arial" w:cs="Arial" w:eastAsia="Arial" w:hAnsi="Arial"/>
          <w:sz w:val="22"/>
          <w:szCs w:val="22"/>
        </w:rPr>
        <w:t xml:space="preserve">Master's degree or PhD in a quantitative discipline such as Mathematics, Statistics, Physics, Financial Engineering, or Computer Science.</w:t>
      </w:r>
    </w:p>
    <w:p>
      <w:pPr>
        <w:pStyle w:val="ListParagraph"/>
        <w:numPr>
          <w:ilvl w:val="0"/>
          <w:numId w:val="2"/>
        </w:numPr>
        <w:spacing w:before="40" w:after="40"/>
      </w:pPr>
      <w:r>
        <w:rPr>
          <w:rFonts w:ascii="Arial" w:cs="Arial" w:eastAsia="Arial" w:hAnsi="Arial"/>
          <w:sz w:val="22"/>
          <w:szCs w:val="22"/>
        </w:rPr>
        <w:t xml:space="preserve">5+ years of experience in model validation, model development, or quantitative risk within a bank, insurance firm, or regulatory body.</w:t>
      </w:r>
    </w:p>
    <w:p>
      <w:pPr>
        <w:pStyle w:val="ListParagraph"/>
        <w:numPr>
          <w:ilvl w:val="0"/>
          <w:numId w:val="2"/>
        </w:numPr>
        <w:spacing w:before="40" w:after="40"/>
      </w:pPr>
      <w:r>
        <w:rPr>
          <w:rFonts w:ascii="Arial" w:cs="Arial" w:eastAsia="Arial" w:hAnsi="Arial"/>
          <w:sz w:val="22"/>
          <w:szCs w:val="22"/>
        </w:rPr>
        <w:t xml:space="preserve">Deep expertise in credit risk modelling (PD/LGD/EAD/IFRS 9) and/or market risk models (VaR, ES, XVA).</w:t>
      </w:r>
    </w:p>
    <w:p>
      <w:pPr>
        <w:pStyle w:val="ListParagraph"/>
        <w:numPr>
          <w:ilvl w:val="0"/>
          <w:numId w:val="2"/>
        </w:numPr>
        <w:spacing w:before="40" w:after="40"/>
      </w:pPr>
      <w:r>
        <w:rPr>
          <w:rFonts w:ascii="Arial" w:cs="Arial" w:eastAsia="Arial" w:hAnsi="Arial"/>
          <w:sz w:val="22"/>
          <w:szCs w:val="22"/>
        </w:rPr>
        <w:t xml:space="preserve">Strong proficiency in Python, R, or MATLAB for model testing and data analysis.</w:t>
      </w:r>
    </w:p>
    <w:p>
      <w:pPr>
        <w:pStyle w:val="ListParagraph"/>
        <w:numPr>
          <w:ilvl w:val="0"/>
          <w:numId w:val="2"/>
        </w:numPr>
        <w:spacing w:before="40" w:after="40"/>
      </w:pPr>
      <w:r>
        <w:rPr>
          <w:rFonts w:ascii="Arial" w:cs="Arial" w:eastAsia="Arial" w:hAnsi="Arial"/>
          <w:sz w:val="22"/>
          <w:szCs w:val="22"/>
        </w:rPr>
        <w:t xml:space="preserve">Solid understanding of UK/EU regulatory requirements (PRA, EBA, Basel framework).</w:t>
      </w:r>
    </w:p>
    <w:p>
      <w:pPr>
        <w:pStyle w:val="ListParagraph"/>
        <w:numPr>
          <w:ilvl w:val="0"/>
          <w:numId w:val="2"/>
        </w:numPr>
        <w:spacing w:before="40" w:after="40"/>
      </w:pPr>
      <w:r>
        <w:rPr>
          <w:rFonts w:ascii="Arial" w:cs="Arial" w:eastAsia="Arial" w:hAnsi="Arial"/>
          <w:sz w:val="22"/>
          <w:szCs w:val="22"/>
        </w:rPr>
        <w:t xml:space="preserve">Proven ability to produce clear, concise technical documentation and validation reports.</w:t>
      </w:r>
    </w:p>
    <w:p>
      <w:pPr>
        <w:spacing w:before="80" w:after="80"/>
      </w:pPr>
      <w:r>
        <w:t xml:space="preserve"/>
      </w:r>
    </w:p>
    <w:p>
      <w:pPr>
        <w:pStyle w:val="Heading1"/>
        <w:pBdr>
          <w:bottom w:val="single" w:color="1F3864" w:sz="6" w:space="4"/>
        </w:pBdr>
        <w:spacing w:before="300" w:after="120"/>
      </w:pPr>
      <w:r>
        <w:rPr>
          <w:rFonts w:ascii="Arial" w:cs="Arial" w:eastAsia="Arial" w:hAnsi="Arial"/>
          <w:b/>
          <w:bCs/>
          <w:color w:val="1F3864"/>
          <w:sz w:val="28"/>
          <w:szCs w:val="28"/>
        </w:rPr>
        <w:t xml:space="preserve">Desirable Skills</w:t>
      </w:r>
    </w:p>
    <w:p>
      <w:pPr>
        <w:pStyle w:val="ListParagraph"/>
        <w:numPr>
          <w:ilvl w:val="0"/>
          <w:numId w:val="2"/>
        </w:numPr>
        <w:spacing w:before="40" w:after="40"/>
      </w:pPr>
      <w:r>
        <w:rPr>
          <w:rFonts w:ascii="Arial" w:cs="Arial" w:eastAsia="Arial" w:hAnsi="Arial"/>
          <w:sz w:val="22"/>
          <w:szCs w:val="22"/>
        </w:rPr>
        <w:t xml:space="preserve">Experience with machine learning model validation (e.g., GBDT, neural networks) in a risk context.</w:t>
      </w:r>
    </w:p>
    <w:p>
      <w:pPr>
        <w:pStyle w:val="ListParagraph"/>
        <w:numPr>
          <w:ilvl w:val="0"/>
          <w:numId w:val="2"/>
        </w:numPr>
        <w:spacing w:before="40" w:after="40"/>
      </w:pPr>
      <w:r>
        <w:rPr>
          <w:rFonts w:ascii="Arial" w:cs="Arial" w:eastAsia="Arial" w:hAnsi="Arial"/>
          <w:sz w:val="22"/>
          <w:szCs w:val="22"/>
        </w:rPr>
        <w:t xml:space="preserve">Familiarity with climate risk, operational risk, or behavioural models.</w:t>
      </w:r>
    </w:p>
    <w:p>
      <w:pPr>
        <w:pStyle w:val="ListParagraph"/>
        <w:numPr>
          <w:ilvl w:val="0"/>
          <w:numId w:val="2"/>
        </w:numPr>
        <w:spacing w:before="40" w:after="40"/>
      </w:pPr>
      <w:r>
        <w:rPr>
          <w:rFonts w:ascii="Arial" w:cs="Arial" w:eastAsia="Arial" w:hAnsi="Arial"/>
          <w:sz w:val="22"/>
          <w:szCs w:val="22"/>
        </w:rPr>
        <w:t xml:space="preserve">Prior experience presenting to internal audit, regulators, or risk committees.</w:t>
      </w:r>
    </w:p>
    <w:p>
      <w:pPr>
        <w:pStyle w:val="ListParagraph"/>
        <w:numPr>
          <w:ilvl w:val="0"/>
          <w:numId w:val="2"/>
        </w:numPr>
        <w:spacing w:before="40" w:after="40"/>
      </w:pPr>
      <w:r>
        <w:rPr>
          <w:rFonts w:ascii="Arial" w:cs="Arial" w:eastAsia="Arial" w:hAnsi="Arial"/>
          <w:sz w:val="22"/>
          <w:szCs w:val="22"/>
        </w:rPr>
        <w:t xml:space="preserve">Knowledge of SR 11-7 / SS1/23 model risk management guidance.</w:t>
      </w:r>
    </w:p>
    <w:p>
      <w:pPr>
        <w:spacing w:before="80" w:after="80"/>
      </w:pPr>
      <w:r>
        <w:t xml:space="preserve"/>
      </w:r>
    </w:p>
    <w:p>
      <w:pPr>
        <w:pStyle w:val="Heading1"/>
        <w:pBdr>
          <w:bottom w:val="single" w:color="1F3864" w:sz="6" w:space="4"/>
        </w:pBdr>
        <w:spacing w:before="300" w:after="120"/>
      </w:pPr>
      <w:r>
        <w:rPr>
          <w:rFonts w:ascii="Arial" w:cs="Arial" w:eastAsia="Arial" w:hAnsi="Arial"/>
          <w:b/>
          <w:bCs/>
          <w:color w:val="1F3864"/>
          <w:sz w:val="28"/>
          <w:szCs w:val="28"/>
        </w:rPr>
        <w:t xml:space="preserve">What We Offer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b/>
                <w:bCs/>
                <w:sz w:val="20"/>
                <w:szCs w:val="20"/>
              </w:rPr>
              <w:t xml:space="preserve">Competitive Salary</w:t>
            </w:r>
          </w:p>
          <w:p>
            <w:r>
              <w:rPr>
                <w:rFonts w:ascii="Arial" w:cs="Arial" w:eastAsia="Arial" w:hAnsi="Arial"/>
                <w:color w:val="444444"/>
                <w:sz w:val="20"/>
                <w:szCs w:val="20"/>
              </w:rPr>
              <w:t xml:space="preserve">Benchmarked to top quartile for the sector</w:t>
            </w:r>
          </w:p>
        </w:tc>
        <w:tc>
          <w:tcPr>
            <w:tcW w:type="dxa" w:w="468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b/>
                <w:bCs/>
                <w:sz w:val="20"/>
                <w:szCs w:val="20"/>
              </w:rPr>
              <w:t xml:space="preserve">Annual Bonus</w:t>
            </w:r>
          </w:p>
          <w:p>
            <w:r>
              <w:rPr>
                <w:rFonts w:ascii="Arial" w:cs="Arial" w:eastAsia="Arial" w:hAnsi="Arial"/>
                <w:color w:val="444444"/>
                <w:sz w:val="20"/>
                <w:szCs w:val="20"/>
              </w:rPr>
              <w:t xml:space="preserve">Performance-linked, up to 30% of base salary</w:t>
            </w:r>
          </w:p>
        </w:tc>
      </w:tr>
      <w:tr>
        <w:tc>
          <w:tcPr>
            <w:tcW w:type="dxa" w:w="468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b/>
                <w:bCs/>
                <w:sz w:val="20"/>
                <w:szCs w:val="20"/>
              </w:rPr>
              <w:t xml:space="preserve">Hybrid Working</w:t>
            </w:r>
          </w:p>
          <w:p>
            <w:r>
              <w:rPr>
                <w:rFonts w:ascii="Arial" w:cs="Arial" w:eastAsia="Arial" w:hAnsi="Arial"/>
                <w:color w:val="444444"/>
                <w:sz w:val="20"/>
                <w:szCs w:val="20"/>
              </w:rPr>
              <w:t xml:space="preserve">3 days in-office, 2 days remote</w:t>
            </w:r>
          </w:p>
        </w:tc>
        <w:tc>
          <w:tcPr>
            <w:tcW w:type="dxa" w:w="468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b/>
                <w:bCs/>
                <w:sz w:val="20"/>
                <w:szCs w:val="20"/>
              </w:rPr>
              <w:t xml:space="preserve">Pension</w:t>
            </w:r>
          </w:p>
          <w:p>
            <w:r>
              <w:rPr>
                <w:rFonts w:ascii="Arial" w:cs="Arial" w:eastAsia="Arial" w:hAnsi="Arial"/>
                <w:color w:val="444444"/>
                <w:sz w:val="20"/>
                <w:szCs w:val="20"/>
              </w:rPr>
              <w:t xml:space="preserve">Employer contribution up to 10%</w:t>
            </w:r>
          </w:p>
        </w:tc>
      </w:tr>
      <w:tr>
        <w:tc>
          <w:tcPr>
            <w:tcW w:type="dxa" w:w="468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b/>
                <w:bCs/>
                <w:sz w:val="20"/>
                <w:szCs w:val="20"/>
              </w:rPr>
              <w:t xml:space="preserve">Learning &amp; Development</w:t>
            </w:r>
          </w:p>
          <w:p>
            <w:r>
              <w:rPr>
                <w:rFonts w:ascii="Arial" w:cs="Arial" w:eastAsia="Arial" w:hAnsi="Arial"/>
                <w:color w:val="444444"/>
                <w:sz w:val="20"/>
                <w:szCs w:val="20"/>
              </w:rPr>
              <w:t xml:space="preserve">Dedicated budget for training, CFA/FRM sponsorship</w:t>
            </w:r>
          </w:p>
        </w:tc>
        <w:tc>
          <w:tcPr>
            <w:tcW w:type="dxa" w:w="468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b/>
                <w:bCs/>
                <w:sz w:val="20"/>
                <w:szCs w:val="20"/>
              </w:rPr>
              <w:t xml:space="preserve">Wellbeing</w:t>
            </w:r>
          </w:p>
          <w:p>
            <w:r>
              <w:rPr>
                <w:rFonts w:ascii="Arial" w:cs="Arial" w:eastAsia="Arial" w:hAnsi="Arial"/>
                <w:color w:val="444444"/>
                <w:sz w:val="20"/>
                <w:szCs w:val="20"/>
              </w:rPr>
              <w:t xml:space="preserve">Private medical, life assurance &amp; EAP</w:t>
            </w:r>
          </w:p>
        </w:tc>
      </w:tr>
    </w:tbl>
    <w:p>
      <w:pPr>
        <w:spacing w:before="80" w:after="80"/>
      </w:pPr>
      <w:r>
        <w:t xml:space="preserve"/>
      </w:r>
    </w:p>
    <w:p>
      <w:pPr>
        <w:pStyle w:val="Heading1"/>
        <w:pBdr>
          <w:bottom w:val="single" w:color="1F3864" w:sz="6" w:space="4"/>
        </w:pBdr>
        <w:spacing w:before="300" w:after="120"/>
      </w:pPr>
      <w:r>
        <w:rPr>
          <w:rFonts w:ascii="Arial" w:cs="Arial" w:eastAsia="Arial" w:hAnsi="Arial"/>
          <w:b/>
          <w:bCs/>
          <w:color w:val="1F3864"/>
          <w:sz w:val="28"/>
          <w:szCs w:val="28"/>
        </w:rPr>
        <w:t xml:space="preserve">How to Apply</w:t>
      </w:r>
    </w:p>
    <w:p>
      <w:pPr>
        <w:spacing w:before="60" w:after="60"/>
      </w:pPr>
      <w:r>
        <w:rPr>
          <w:rFonts w:ascii="Arial" w:cs="Arial" w:eastAsia="Arial" w:hAnsi="Arial"/>
          <w:sz w:val="22"/>
          <w:szCs w:val="22"/>
        </w:rPr>
        <w:t xml:space="preserve">Please submit your CV and a brief covering letter outlining your relevant experience and motivation for this role. Applications are reviewed on a rolling basis.</w:t>
      </w:r>
    </w:p>
    <w:p>
      <w:pPr>
        <w:spacing w:before="80" w:after="80"/>
      </w:pPr>
      <w:r>
        <w:t xml:space="preserve"/>
      </w:r>
    </w:p>
    <w:p>
      <w:pPr>
        <w:spacing w:before="60" w:after="60"/>
      </w:pPr>
      <w:r>
        <w:rPr>
          <w:rFonts w:ascii="Arial" w:cs="Arial" w:eastAsia="Arial" w:hAnsi="Arial"/>
          <w:i/>
          <w:iCs/>
          <w:color w:val="666666"/>
          <w:sz w:val="22"/>
          <w:szCs w:val="22"/>
        </w:rPr>
        <w:t xml:space="preserve">We are committed to building a diverse and inclusive team. We welcome applications from all qualified candidates regardless of age, disability, gender, race, religion, or sexual orientation.</w:t>
      </w:r>
    </w:p>
    <w:sectPr>
      <w:pgSz w:w="12240" w:h="15840" w:orient="portrait"/>
      <w:pgMar w:top="1080" w:right="1260" w:bottom="108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pPr>
      <w:spacing w:before="300" w:after="120"/>
      <w:outlineLvl w:val="0"/>
    </w:pPr>
    <w:rPr>
      <w:rFonts w:ascii="Arial" w:cs="Arial" w:eastAsia="Arial" w:hAnsi="Arial"/>
      <w:b/>
      <w:bCs/>
      <w:color w:val="1F3864"/>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2026-02-22T11:47:25.421Z</dcterms:created>
  <dcterms:modified xsi:type="dcterms:W3CDTF">2026-02-22T11:47:25.422Z</dcterms:modified>
</cp:coreProperties>
</file>

<file path=docProps/custom.xml><?xml version="1.0" encoding="utf-8"?>
<Properties xmlns="http://schemas.openxmlformats.org/officeDocument/2006/custom-properties" xmlns:vt="http://schemas.openxmlformats.org/officeDocument/2006/docPropsVTypes"/>
</file>