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rriweather ExtraBold" w:cs="Merriweather ExtraBold" w:eastAsia="Merriweather ExtraBold" w:hAnsi="Merriweather ExtraBold"/>
          <w:color w:val="434343"/>
          <w:sz w:val="24"/>
          <w:szCs w:val="24"/>
          <w:u w:val="single"/>
        </w:rPr>
      </w:pPr>
      <w:r w:rsidDel="00000000" w:rsidR="00000000" w:rsidRPr="00000000">
        <w:rPr>
          <w:rFonts w:ascii="Merriweather ExtraBold" w:cs="Merriweather ExtraBold" w:eastAsia="Merriweather ExtraBold" w:hAnsi="Merriweather ExtraBold"/>
          <w:color w:val="434343"/>
          <w:sz w:val="24"/>
          <w:szCs w:val="24"/>
          <w:u w:val="single"/>
          <w:rtl w:val="0"/>
        </w:rPr>
        <w:t xml:space="preserve">Impact of Clinical Risk Factors on Maximum Heart Rate Project Report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Here in this project we are i</w:t>
      </w:r>
      <w:r w:rsidDel="00000000" w:rsidR="00000000" w:rsidRPr="00000000">
        <w:rPr>
          <w:rtl w:val="0"/>
        </w:rPr>
        <w:t xml:space="preserve">nvestigating the Impact of Clinical Risk Factors on Maximum Heart Rate Using Aligned Ranks Transformation ANOVA</w:t>
      </w:r>
    </w:p>
    <w:p w:rsidR="00000000" w:rsidDel="00000000" w:rsidP="00000000" w:rsidRDefault="00000000" w:rsidRPr="00000000" w14:paraId="00000003">
      <w:pPr>
        <w:rPr>
          <w:b w:val="1"/>
          <w:bCs w:val="1"/>
        </w:rPr>
      </w:pPr>
      <w:r w:rsidDel="00000000" w:rsidR="00000000" w:rsidRPr="00000000">
        <w:rPr>
          <w:b w:val="1"/>
          <w:bCs w:val="1"/>
          <w:rtl w:val="0"/>
        </w:rPr>
        <w:t xml:space="preserve">1. Abstract</w:t>
      </w:r>
    </w:p>
    <w:p w:rsidR="00000000" w:rsidDel="00000000" w:rsidP="00000000" w:rsidRDefault="00000000" w:rsidRPr="00000000" w14:paraId="00000004">
      <w:pPr>
        <w:rPr/>
      </w:pPr>
      <w:r w:rsidDel="00000000" w:rsidR="00000000" w:rsidRPr="00000000">
        <w:rPr>
          <w:rtl w:val="0"/>
        </w:rPr>
        <w:t xml:space="preserve">This study investigates the independent and combined effects of chest pain type, fasting blood sugar (FBS), and electrocardiogram (ECG) findings on Maximum Heart Rate (MaxHR). Utilizing a multicenter dataset of 918 participants (725 males, 193 females) from Cleveland, Hungary, Switzerland, and Long Beach, the research employs Aligned Ranks Transformation (ART) ANOVA to address the complexities of non-normal clinical distributions. Primary findings reveal that MaxHR is significantly influenced by clinical factors, with asymptomatic (ASY) individuals and those presenting with ST-T abnormalities exhibiting markedly reduced MaxHR performance. Specifically, in the elevated FBS subgroup (n=214), 65.89% of participants were asymptomatic, yet nearly half of the total metabolic subgroup displayed ECG abnormalities. These results indicate a high prevalence of reduced chronotropic competence and "silent" cardiac risk. The study concludes that MaxHR serves as a critical biomarker for subclinical cardiovascular dysfunction, emphasizing the necessity for routine stress testing and integrated metabolic screening in asymptomatic, high-risk populations.</w:t>
      </w:r>
    </w:p>
    <w:p w:rsidR="00000000" w:rsidDel="00000000" w:rsidP="00000000" w:rsidRDefault="00000000" w:rsidRPr="00000000" w14:paraId="00000005">
      <w:pPr>
        <w:rPr>
          <w:b w:val="1"/>
          <w:bCs w:val="1"/>
        </w:rPr>
      </w:pPr>
      <w:r w:rsidDel="00000000" w:rsidR="00000000" w:rsidRPr="00000000">
        <w:rPr>
          <w:b w:val="1"/>
          <w:bCs w:val="1"/>
          <w:rtl w:val="0"/>
        </w:rPr>
        <w:t xml:space="preserve">2. Introduction</w:t>
      </w:r>
    </w:p>
    <w:p w:rsidR="00000000" w:rsidDel="00000000" w:rsidP="00000000" w:rsidRDefault="00000000" w:rsidRPr="00000000" w14:paraId="00000006">
      <w:pPr>
        <w:rPr>
          <w:b w:val="1"/>
          <w:bCs w:val="1"/>
        </w:rPr>
      </w:pPr>
      <w:r w:rsidDel="00000000" w:rsidR="00000000" w:rsidRPr="00000000">
        <w:rPr>
          <w:b w:val="1"/>
          <w:bCs w:val="1"/>
          <w:rtl w:val="0"/>
        </w:rPr>
        <w:t xml:space="preserve">2.1 Background and Rationale</w:t>
      </w:r>
    </w:p>
    <w:p w:rsidR="00000000" w:rsidDel="00000000" w:rsidP="00000000" w:rsidRDefault="00000000" w:rsidRPr="00000000" w14:paraId="00000007">
      <w:pPr>
        <w:rPr/>
      </w:pPr>
      <w:r w:rsidDel="00000000" w:rsidR="00000000" w:rsidRPr="00000000">
        <w:rPr>
          <w:rtl w:val="0"/>
        </w:rPr>
        <w:t xml:space="preserve">Cardiovascular Diseases (CVDs) remain the preeminent cause of global mortality, responsible for approximately 17.9 million deaths annually—representing 31% of all global fatalities. Acute events, such as myocardial infarction and stroke, account for 80% of these deaths, with a concerning one-third occurring in individuals under the age of 70. </w:t>
      </w:r>
      <w:r w:rsidDel="00000000" w:rsidR="00000000" w:rsidRPr="00000000">
        <w:rPr>
          <w:b w:val="1"/>
          <w:bCs w:val="1"/>
          <w:rtl w:val="0"/>
        </w:rPr>
        <w:t xml:space="preserve">Maximum Heart Rate (MaxHR)</w:t>
      </w:r>
      <w:r w:rsidDel="00000000" w:rsidR="00000000" w:rsidRPr="00000000">
        <w:rPr>
          <w:rtl w:val="0"/>
        </w:rPr>
        <w:t xml:space="preserve"> is a fundamental clinical indicator of cardiac reserve and autonomic function under physiological stress. While MaxHR is modulated by age, sex, and comorbidities like hypertension or diabetes, traditional parametric statistical models often fail to capture the nuances of clinical datasets characterized by non-normal distributions and complex interactions. By analyzing data from geographically diverse sites—including Cleveland, Hungary, Switzerland, and Long Beach—this study seeks to provide a robust analysis applicable to the global CVD burden.</w:t>
      </w:r>
    </w:p>
    <w:p w:rsidR="00000000" w:rsidDel="00000000" w:rsidP="00000000" w:rsidRDefault="00000000" w:rsidRPr="00000000" w14:paraId="00000008">
      <w:pPr>
        <w:rPr>
          <w:b w:val="1"/>
          <w:bCs w:val="1"/>
        </w:rPr>
      </w:pPr>
      <w:r w:rsidDel="00000000" w:rsidR="00000000" w:rsidRPr="00000000">
        <w:rPr>
          <w:b w:val="1"/>
          <w:bCs w:val="1"/>
          <w:rtl w:val="0"/>
        </w:rPr>
        <w:t xml:space="preserve">2.2 Research Objective</w:t>
      </w:r>
    </w:p>
    <w:p w:rsidR="00000000" w:rsidDel="00000000" w:rsidP="00000000" w:rsidRDefault="00000000" w:rsidRPr="00000000" w14:paraId="00000009">
      <w:pPr>
        <w:rPr/>
      </w:pPr>
      <w:r w:rsidDel="00000000" w:rsidR="00000000" w:rsidRPr="00000000">
        <w:rPr>
          <w:rtl w:val="0"/>
        </w:rPr>
        <w:t xml:space="preserve">The objective of this research is to evaluate the independent and interaction effects of chest pain type, fasting blood sugar levels, and ECG findings on MaxHR. Utilizing </w:t>
      </w:r>
      <w:r w:rsidDel="00000000" w:rsidR="00000000" w:rsidRPr="00000000">
        <w:rPr>
          <w:b w:val="1"/>
          <w:bCs w:val="1"/>
          <w:rtl w:val="0"/>
        </w:rPr>
        <w:t xml:space="preserve">Aligned Ranks Transformation (ART) ANOVA</w:t>
      </w:r>
      <w:r w:rsidDel="00000000" w:rsidR="00000000" w:rsidRPr="00000000">
        <w:rPr>
          <w:rtl w:val="0"/>
        </w:rPr>
        <w:t xml:space="preserve">, we aim to identify clinical phenotypes that signal subclinical cardiovascular dysfunction, particularly among individuals who are asymptomatic or metabolically compromised.</w:t>
      </w:r>
    </w:p>
    <w:p w:rsidR="00000000" w:rsidDel="00000000" w:rsidP="00000000" w:rsidRDefault="00000000" w:rsidRPr="00000000" w14:paraId="0000000A">
      <w:pPr>
        <w:rPr>
          <w:b w:val="1"/>
          <w:bCs w:val="1"/>
        </w:rPr>
      </w:pPr>
      <w:r w:rsidDel="00000000" w:rsidR="00000000" w:rsidRPr="00000000">
        <w:rPr>
          <w:b w:val="1"/>
          <w:bCs w:val="1"/>
          <w:rtl w:val="0"/>
        </w:rPr>
        <w:t xml:space="preserve">2.3 Theoretical Framework</w:t>
      </w:r>
    </w:p>
    <w:p w:rsidR="00000000" w:rsidDel="00000000" w:rsidP="00000000" w:rsidRDefault="00000000" w:rsidRPr="00000000" w14:paraId="0000000B">
      <w:pPr>
        <w:rPr/>
      </w:pPr>
      <w:r w:rsidDel="00000000" w:rsidR="00000000" w:rsidRPr="00000000">
        <w:rPr>
          <w:rtl w:val="0"/>
        </w:rPr>
        <w:t xml:space="preserve">This study utilizes the physiological concepts of </w:t>
      </w:r>
      <w:r w:rsidDel="00000000" w:rsidR="00000000" w:rsidRPr="00000000">
        <w:rPr>
          <w:b w:val="1"/>
          <w:bCs w:val="1"/>
          <w:rtl w:val="0"/>
        </w:rPr>
        <w:t xml:space="preserve">chronotropic competence</w:t>
      </w:r>
      <w:r w:rsidDel="00000000" w:rsidR="00000000" w:rsidRPr="00000000">
        <w:rPr>
          <w:rtl w:val="0"/>
        </w:rPr>
        <w:t xml:space="preserve">—the heart’s capacity to increase its rate commensurate with metabolic demand—and </w:t>
      </w:r>
      <w:r w:rsidDel="00000000" w:rsidR="00000000" w:rsidRPr="00000000">
        <w:rPr>
          <w:b w:val="1"/>
          <w:bCs w:val="1"/>
          <w:rtl w:val="0"/>
        </w:rPr>
        <w:t xml:space="preserve">subclinical cardiovascular dysfunction</w:t>
      </w:r>
      <w:r w:rsidDel="00000000" w:rsidR="00000000" w:rsidRPr="00000000">
        <w:rPr>
          <w:rtl w:val="0"/>
        </w:rPr>
        <w:t xml:space="preserve">. A diminished MaxHR response may reflect impaired autonomic regulation or "silent" ischemia, offering a diagnostic window into cardiac pathology before the onset of overt clinical symptoms.</w:t>
      </w:r>
    </w:p>
    <w:p w:rsidR="00000000" w:rsidDel="00000000" w:rsidP="00000000" w:rsidRDefault="00000000" w:rsidRPr="00000000" w14:paraId="0000000C">
      <w:pPr>
        <w:rPr>
          <w:b w:val="1"/>
          <w:bCs w:val="1"/>
        </w:rPr>
      </w:pPr>
      <w:r w:rsidDel="00000000" w:rsidR="00000000" w:rsidRPr="00000000">
        <w:rPr>
          <w:b w:val="1"/>
          <w:bCs w:val="1"/>
          <w:rtl w:val="0"/>
        </w:rPr>
        <w:t xml:space="preserve">3. Methodology</w:t>
      </w:r>
    </w:p>
    <w:p w:rsidR="00000000" w:rsidDel="00000000" w:rsidP="00000000" w:rsidRDefault="00000000" w:rsidRPr="00000000" w14:paraId="0000000D">
      <w:pPr>
        <w:rPr>
          <w:b w:val="1"/>
          <w:bCs w:val="1"/>
        </w:rPr>
      </w:pPr>
      <w:r w:rsidDel="00000000" w:rsidR="00000000" w:rsidRPr="00000000">
        <w:rPr>
          <w:b w:val="1"/>
          <w:bCs w:val="1"/>
          <w:rtl w:val="0"/>
        </w:rPr>
        <w:t xml:space="preserve">3.1 Study Design and Participants</w:t>
      </w:r>
    </w:p>
    <w:p w:rsidR="00000000" w:rsidDel="00000000" w:rsidP="00000000" w:rsidRDefault="00000000" w:rsidRPr="00000000" w14:paraId="0000000E">
      <w:pPr>
        <w:rPr/>
      </w:pPr>
      <w:r w:rsidDel="00000000" w:rsidR="00000000" w:rsidRPr="00000000">
        <w:rPr>
          <w:rtl w:val="0"/>
        </w:rPr>
        <w:t xml:space="preserve">A cross-sectional study design was employed, utilizing a sample of 918 adults. The cohort comprised 725 males and 193 females. Data were aggregated from four international recruitment sites: Cleveland, USA; Hungary; Switzerland; and Long Beach, USA.</w:t>
      </w:r>
    </w:p>
    <w:p w:rsidR="00000000" w:rsidDel="00000000" w:rsidP="00000000" w:rsidRDefault="00000000" w:rsidRPr="00000000" w14:paraId="0000000F">
      <w:pPr>
        <w:rPr>
          <w:b w:val="1"/>
          <w:bCs w:val="1"/>
        </w:rPr>
      </w:pPr>
      <w:r w:rsidDel="00000000" w:rsidR="00000000" w:rsidRPr="00000000">
        <w:rPr>
          <w:b w:val="1"/>
          <w:bCs w:val="1"/>
          <w:rtl w:val="0"/>
        </w:rPr>
        <w:t xml:space="preserve">3.2 Inclusion and Exclusion Criteria</w:t>
      </w:r>
    </w:p>
    <w:p w:rsidR="00000000" w:rsidDel="00000000" w:rsidP="00000000" w:rsidRDefault="00000000" w:rsidRPr="00000000" w14:paraId="00000010">
      <w:pPr>
        <w:numPr>
          <w:ilvl w:val="0"/>
          <w:numId w:val="1"/>
        </w:numPr>
        <w:ind w:left="720" w:hanging="360"/>
        <w:rPr/>
      </w:pPr>
      <w:r w:rsidDel="00000000" w:rsidR="00000000" w:rsidRPr="00000000">
        <w:rPr>
          <w:b w:val="1"/>
          <w:bCs w:val="1"/>
          <w:rtl w:val="0"/>
        </w:rPr>
        <w:t xml:space="preserve">Inclusion Criteria:</w:t>
      </w:r>
      <w:r w:rsidDel="00000000" w:rsidR="00000000" w:rsidRPr="00000000">
        <w:rPr>
          <w:rtl w:val="0"/>
        </w:rPr>
        <w:t xml:space="preserve"> Adults (≥18 years) presenting with chest pain or referred for cardiovascular diagnostic assessment.</w:t>
      </w:r>
    </w:p>
    <w:p w:rsidR="00000000" w:rsidDel="00000000" w:rsidP="00000000" w:rsidRDefault="00000000" w:rsidRPr="00000000" w14:paraId="00000011">
      <w:pPr>
        <w:numPr>
          <w:ilvl w:val="0"/>
          <w:numId w:val="1"/>
        </w:numPr>
        <w:ind w:left="720" w:hanging="360"/>
        <w:rPr/>
      </w:pPr>
      <w:r w:rsidDel="00000000" w:rsidR="00000000" w:rsidRPr="00000000">
        <w:rPr>
          <w:b w:val="1"/>
          <w:bCs w:val="1"/>
          <w:rtl w:val="0"/>
        </w:rPr>
        <w:t xml:space="preserve">Exclusion Criteria:</w:t>
      </w:r>
      <w:r w:rsidDel="00000000" w:rsidR="00000000" w:rsidRPr="00000000">
        <w:rPr>
          <w:rtl w:val="0"/>
        </w:rPr>
        <w:t xml:space="preserve"> Participants with missing or incomplete clinical data were excluded to maintain statistical power and data integrity. All data collection was IRB-approved with informed consent obtained from participants.</w:t>
      </w:r>
    </w:p>
    <w:p w:rsidR="00000000" w:rsidDel="00000000" w:rsidP="00000000" w:rsidRDefault="00000000" w:rsidRPr="00000000" w14:paraId="00000012">
      <w:pPr>
        <w:rPr>
          <w:b w:val="1"/>
          <w:bCs w:val="1"/>
        </w:rPr>
      </w:pPr>
      <w:r w:rsidDel="00000000" w:rsidR="00000000" w:rsidRPr="00000000">
        <w:rPr>
          <w:b w:val="1"/>
          <w:bCs w:val="1"/>
          <w:rtl w:val="0"/>
        </w:rPr>
        <w:t xml:space="preserve">3.3 Statistical Methodology</w:t>
      </w:r>
    </w:p>
    <w:p w:rsidR="00000000" w:rsidDel="00000000" w:rsidP="00000000" w:rsidRDefault="00000000" w:rsidRPr="00000000" w14:paraId="00000013">
      <w:pPr>
        <w:rPr/>
      </w:pPr>
      <w:r w:rsidDel="00000000" w:rsidR="00000000" w:rsidRPr="00000000">
        <w:rPr>
          <w:rtl w:val="0"/>
        </w:rPr>
        <w:t xml:space="preserve">The primary inferential analysis was conducted using </w:t>
      </w:r>
      <w:r w:rsidDel="00000000" w:rsidR="00000000" w:rsidRPr="00000000">
        <w:rPr>
          <w:b w:val="1"/>
          <w:bCs w:val="1"/>
          <w:rtl w:val="0"/>
        </w:rPr>
        <w:t xml:space="preserve">Aligned Ranks Transformation (ART) ANOVA</w:t>
      </w:r>
      <w:r w:rsidDel="00000000" w:rsidR="00000000" w:rsidRPr="00000000">
        <w:rPr>
          <w:rtl w:val="0"/>
        </w:rPr>
        <w:t xml:space="preserve">. This non-parametric approach was selected because the MaxHR data violated the assumption of normality required for traditional ANOVA. Crucially, ART ANOVA was utilized because it allows for the rigorous assessment of </w:t>
      </w:r>
      <w:r w:rsidDel="00000000" w:rsidR="00000000" w:rsidRPr="00000000">
        <w:rPr>
          <w:b w:val="1"/>
          <w:bCs w:val="1"/>
          <w:rtl w:val="0"/>
        </w:rPr>
        <w:t xml:space="preserve">multifactorial interaction effects</w:t>
      </w:r>
      <w:r w:rsidDel="00000000" w:rsidR="00000000" w:rsidRPr="00000000">
        <w:rPr>
          <w:rtl w:val="0"/>
        </w:rPr>
        <w:t xml:space="preserve"> (e.g., ECG × FBS × Chest Pain) within a rank-based framework—a capability that standard non-parametric tests, such as the Kruskal-Wallis test, do not possess.</w:t>
      </w:r>
    </w:p>
    <w:p w:rsidR="00000000" w:rsidDel="00000000" w:rsidP="00000000" w:rsidRDefault="00000000" w:rsidRPr="00000000" w14:paraId="00000014">
      <w:pPr>
        <w:rPr>
          <w:b w:val="1"/>
          <w:bCs w:val="1"/>
        </w:rPr>
      </w:pPr>
      <w:r w:rsidDel="00000000" w:rsidR="00000000" w:rsidRPr="00000000">
        <w:rPr>
          <w:b w:val="1"/>
          <w:bCs w:val="1"/>
          <w:rtl w:val="0"/>
        </w:rPr>
        <w:t xml:space="preserve">4. Results</w:t>
      </w:r>
    </w:p>
    <w:p w:rsidR="00000000" w:rsidDel="00000000" w:rsidP="00000000" w:rsidRDefault="00000000" w:rsidRPr="00000000" w14:paraId="00000015">
      <w:pPr>
        <w:rPr>
          <w:b w:val="1"/>
          <w:bCs w:val="1"/>
        </w:rPr>
      </w:pPr>
      <w:r w:rsidDel="00000000" w:rsidR="00000000" w:rsidRPr="00000000">
        <w:rPr>
          <w:b w:val="1"/>
          <w:bCs w:val="1"/>
          <w:rtl w:val="0"/>
        </w:rPr>
        <w:t xml:space="preserve">4.1 Participant Demographics</w:t>
      </w:r>
    </w:p>
    <w:p w:rsidR="00000000" w:rsidDel="00000000" w:rsidP="00000000" w:rsidRDefault="00000000" w:rsidRPr="00000000" w14:paraId="00000016">
      <w:pPr>
        <w:rPr/>
      </w:pPr>
      <w:r w:rsidDel="00000000" w:rsidR="00000000" w:rsidRPr="00000000">
        <w:rPr>
          <w:rtl w:val="0"/>
        </w:rPr>
        <w:t xml:space="preserve">The demographic profile indicates an </w:t>
      </w:r>
      <w:r w:rsidDel="00000000" w:rsidR="00000000" w:rsidRPr="00000000">
        <w:rPr>
          <w:b w:val="1"/>
          <w:bCs w:val="1"/>
          <w:rtl w:val="0"/>
        </w:rPr>
        <w:t xml:space="preserve">aging, at-risk population</w:t>
      </w:r>
      <w:r w:rsidDel="00000000" w:rsidR="00000000" w:rsidRPr="00000000">
        <w:rPr>
          <w:rtl w:val="0"/>
        </w:rPr>
        <w:t xml:space="preserve">, characterized by a high proportion of males over the age of 55 and a relative scarcity of younger participants across both sexes.</w:t>
      </w:r>
    </w:p>
    <w:tbl>
      <w:tblPr>
        <w:tblStyle w:val="Table1"/>
        <w:tblW w:w="90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835"/>
        <w:gridCol w:w="3315"/>
        <w:gridCol w:w="2860"/>
        <w:tblGridChange w:id="0">
          <w:tblGrid>
            <w:gridCol w:w="2835"/>
            <w:gridCol w:w="3315"/>
            <w:gridCol w:w="28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rPr/>
            </w:pPr>
            <w:r w:rsidDel="00000000" w:rsidR="00000000" w:rsidRPr="00000000">
              <w:rPr>
                <w:rtl w:val="0"/>
              </w:rPr>
              <w:t xml:space="preserve">Age Category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rPr/>
            </w:pPr>
            <w:r w:rsidDel="00000000" w:rsidR="00000000" w:rsidRPr="00000000">
              <w:rPr>
                <w:rtl w:val="0"/>
              </w:rPr>
              <w:t xml:space="preserve">Female (n=193)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9">
            <w:pPr>
              <w:rPr/>
            </w:pPr>
            <w:r w:rsidDel="00000000" w:rsidR="00000000" w:rsidRPr="00000000">
              <w:rPr>
                <w:rtl w:val="0"/>
              </w:rPr>
              <w:t xml:space="preserve">Male (n=725)</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A">
            <w:pPr>
              <w:rPr/>
            </w:pPr>
            <w:r w:rsidDel="00000000" w:rsidR="00000000" w:rsidRPr="00000000">
              <w:rPr>
                <w:rtl w:val="0"/>
              </w:rPr>
              <w:t xml:space="preserve">&lt; 40 years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B">
            <w:pPr>
              <w:rPr/>
            </w:pPr>
            <w:r w:rsidDel="00000000" w:rsidR="00000000" w:rsidRPr="00000000">
              <w:rPr>
                <w:rtl w:val="0"/>
              </w:rPr>
              <w:t xml:space="preserve">10.36%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C">
            <w:pPr>
              <w:rPr/>
            </w:pPr>
            <w:r w:rsidDel="00000000" w:rsidR="00000000" w:rsidRPr="00000000">
              <w:rPr>
                <w:rtl w:val="0"/>
              </w:rPr>
              <w:t xml:space="preserve">10.07%</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D">
            <w:pPr>
              <w:rPr/>
            </w:pPr>
            <w:r w:rsidDel="00000000" w:rsidR="00000000" w:rsidRPr="00000000">
              <w:rPr>
                <w:rtl w:val="0"/>
              </w:rPr>
              <w:t xml:space="preserve">40–55 years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E">
            <w:pPr>
              <w:rPr/>
            </w:pPr>
            <w:r w:rsidDel="00000000" w:rsidR="00000000" w:rsidRPr="00000000">
              <w:rPr>
                <w:rtl w:val="0"/>
              </w:rPr>
              <w:t xml:space="preserve">49.22%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F">
            <w:pPr>
              <w:rPr/>
            </w:pPr>
            <w:r w:rsidDel="00000000" w:rsidR="00000000" w:rsidRPr="00000000">
              <w:rPr>
                <w:rtl w:val="0"/>
              </w:rPr>
              <w:t xml:space="preserve">39.03%</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0">
            <w:pPr>
              <w:rPr/>
            </w:pPr>
            <w:r w:rsidDel="00000000" w:rsidR="00000000" w:rsidRPr="00000000">
              <w:rPr>
                <w:rtl w:val="0"/>
              </w:rPr>
              <w:t xml:space="preserve">&gt; 55 years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1">
            <w:pPr>
              <w:rPr/>
            </w:pPr>
            <w:r w:rsidDel="00000000" w:rsidR="00000000" w:rsidRPr="00000000">
              <w:rPr>
                <w:rtl w:val="0"/>
              </w:rPr>
              <w:t xml:space="preserve">40.41%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2">
            <w:pPr>
              <w:rPr/>
            </w:pPr>
            <w:r w:rsidDel="00000000" w:rsidR="00000000" w:rsidRPr="00000000">
              <w:rPr>
                <w:rtl w:val="0"/>
              </w:rPr>
              <w:t xml:space="preserve">50.90%</w:t>
            </w:r>
          </w:p>
        </w:tc>
      </w:tr>
    </w:tbl>
    <w:p w:rsidR="00000000" w:rsidDel="00000000" w:rsidP="00000000" w:rsidRDefault="00000000" w:rsidRPr="00000000" w14:paraId="00000023">
      <w:pPr>
        <w:rPr>
          <w:b w:val="1"/>
          <w:bCs w:val="1"/>
        </w:rPr>
      </w:pPr>
      <w:r w:rsidDel="00000000" w:rsidR="00000000" w:rsidRPr="00000000">
        <w:rPr>
          <w:b w:val="1"/>
          <w:bCs w:val="1"/>
          <w:rtl w:val="0"/>
        </w:rPr>
        <w:t xml:space="preserve">4.2 Clinical Characteristics</w:t>
      </w:r>
    </w:p>
    <w:p w:rsidR="00000000" w:rsidDel="00000000" w:rsidP="00000000" w:rsidRDefault="00000000" w:rsidRPr="00000000" w14:paraId="00000024">
      <w:pPr>
        <w:rPr/>
      </w:pPr>
      <w:r w:rsidDel="00000000" w:rsidR="00000000" w:rsidRPr="00000000">
        <w:rPr>
          <w:rtl w:val="0"/>
        </w:rPr>
        <w:t xml:space="preserve">The baseline clinical characteristics for the total cohort (n=918) are summarized below.</w:t>
      </w:r>
    </w:p>
    <w:tbl>
      <w:tblPr>
        <w:tblStyle w:val="Table2"/>
        <w:tblW w:w="90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641"/>
        <w:gridCol w:w="2116"/>
        <w:gridCol w:w="2253"/>
        <w:tblGridChange w:id="0">
          <w:tblGrid>
            <w:gridCol w:w="4641"/>
            <w:gridCol w:w="2116"/>
            <w:gridCol w:w="225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5">
            <w:pPr>
              <w:rPr/>
            </w:pPr>
            <w:r w:rsidDel="00000000" w:rsidR="00000000" w:rsidRPr="00000000">
              <w:rPr>
                <w:rtl w:val="0"/>
              </w:rPr>
              <w:t xml:space="preserve">Chest Pain Type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rPr/>
            </w:pPr>
            <w:r w:rsidDel="00000000" w:rsidR="00000000" w:rsidRPr="00000000">
              <w:rPr>
                <w:rtl w:val="0"/>
              </w:rPr>
              <w:t xml:space="preserve">Frequency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7">
            <w:pPr>
              <w:rPr/>
            </w:pPr>
            <w:r w:rsidDel="00000000" w:rsidR="00000000" w:rsidRPr="00000000">
              <w:rPr>
                <w:rtl w:val="0"/>
              </w:rPr>
              <w:t xml:space="preserve">Percentage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8">
            <w:pPr>
              <w:rPr/>
            </w:pPr>
            <w:r w:rsidDel="00000000" w:rsidR="00000000" w:rsidRPr="00000000">
              <w:rPr>
                <w:rtl w:val="0"/>
              </w:rPr>
              <w:t xml:space="preserve">ASY (Asymptomatic)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9">
            <w:pPr>
              <w:rPr/>
            </w:pPr>
            <w:r w:rsidDel="00000000" w:rsidR="00000000" w:rsidRPr="00000000">
              <w:rPr>
                <w:rtl w:val="0"/>
              </w:rPr>
              <w:t xml:space="preserve">496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A">
            <w:pPr>
              <w:rPr/>
            </w:pPr>
            <w:r w:rsidDel="00000000" w:rsidR="00000000" w:rsidRPr="00000000">
              <w:rPr>
                <w:rtl w:val="0"/>
              </w:rPr>
              <w:t xml:space="preserve">54.03%</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B">
            <w:pPr>
              <w:rPr/>
            </w:pPr>
            <w:r w:rsidDel="00000000" w:rsidR="00000000" w:rsidRPr="00000000">
              <w:rPr>
                <w:rtl w:val="0"/>
              </w:rPr>
              <w:t xml:space="preserve">NAP (Non-anginal Pain)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C">
            <w:pPr>
              <w:rPr/>
            </w:pPr>
            <w:r w:rsidDel="00000000" w:rsidR="00000000" w:rsidRPr="00000000">
              <w:rPr>
                <w:rtl w:val="0"/>
              </w:rPr>
              <w:t xml:space="preserve">203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D">
            <w:pPr>
              <w:rPr/>
            </w:pPr>
            <w:r w:rsidDel="00000000" w:rsidR="00000000" w:rsidRPr="00000000">
              <w:rPr>
                <w:rtl w:val="0"/>
              </w:rPr>
              <w:t xml:space="preserve">22.11%</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E">
            <w:pPr>
              <w:rPr/>
            </w:pPr>
            <w:r w:rsidDel="00000000" w:rsidR="00000000" w:rsidRPr="00000000">
              <w:rPr>
                <w:rtl w:val="0"/>
              </w:rPr>
              <w:t xml:space="preserve">ATA (Atypical Angina)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F">
            <w:pPr>
              <w:rPr/>
            </w:pPr>
            <w:r w:rsidDel="00000000" w:rsidR="00000000" w:rsidRPr="00000000">
              <w:rPr>
                <w:rtl w:val="0"/>
              </w:rPr>
              <w:t xml:space="preserve">173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0">
            <w:pPr>
              <w:rPr/>
            </w:pPr>
            <w:r w:rsidDel="00000000" w:rsidR="00000000" w:rsidRPr="00000000">
              <w:rPr>
                <w:rtl w:val="0"/>
              </w:rPr>
              <w:t xml:space="preserve">18.85%</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1">
            <w:pPr>
              <w:rPr/>
            </w:pPr>
            <w:r w:rsidDel="00000000" w:rsidR="00000000" w:rsidRPr="00000000">
              <w:rPr>
                <w:rtl w:val="0"/>
              </w:rPr>
              <w:t xml:space="preserve">TA (Typical Angina)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2">
            <w:pPr>
              <w:rPr/>
            </w:pPr>
            <w:r w:rsidDel="00000000" w:rsidR="00000000" w:rsidRPr="00000000">
              <w:rPr>
                <w:rtl w:val="0"/>
              </w:rPr>
              <w:t xml:space="preserve">46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3">
            <w:pPr>
              <w:rPr/>
            </w:pPr>
            <w:r w:rsidDel="00000000" w:rsidR="00000000" w:rsidRPr="00000000">
              <w:rPr>
                <w:rtl w:val="0"/>
              </w:rPr>
              <w:t xml:space="preserve">5.01%</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0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5484"/>
        <w:gridCol w:w="1708"/>
        <w:gridCol w:w="1818"/>
        <w:tblGridChange w:id="0">
          <w:tblGrid>
            <w:gridCol w:w="5484"/>
            <w:gridCol w:w="1708"/>
            <w:gridCol w:w="181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5">
            <w:pPr>
              <w:rPr/>
            </w:pPr>
            <w:r w:rsidDel="00000000" w:rsidR="00000000" w:rsidRPr="00000000">
              <w:rPr>
                <w:rtl w:val="0"/>
              </w:rPr>
              <w:t xml:space="preserve">ECG Findings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6">
            <w:pPr>
              <w:rPr/>
            </w:pPr>
            <w:r w:rsidDel="00000000" w:rsidR="00000000" w:rsidRPr="00000000">
              <w:rPr>
                <w:rtl w:val="0"/>
              </w:rPr>
              <w:t xml:space="preserve">Frequency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7">
            <w:pPr>
              <w:rPr/>
            </w:pPr>
            <w:r w:rsidDel="00000000" w:rsidR="00000000" w:rsidRPr="00000000">
              <w:rPr>
                <w:rtl w:val="0"/>
              </w:rPr>
              <w:t xml:space="preserve">Percentage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8">
            <w:pPr>
              <w:rPr/>
            </w:pPr>
            <w:r w:rsidDel="00000000" w:rsidR="00000000" w:rsidRPr="00000000">
              <w:rPr>
                <w:rtl w:val="0"/>
              </w:rPr>
              <w:t xml:space="preserve">Normal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9">
            <w:pPr>
              <w:rPr/>
            </w:pPr>
            <w:r w:rsidDel="00000000" w:rsidR="00000000" w:rsidRPr="00000000">
              <w:rPr>
                <w:rtl w:val="0"/>
              </w:rPr>
              <w:t xml:space="preserve">552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A">
            <w:pPr>
              <w:rPr/>
            </w:pPr>
            <w:r w:rsidDel="00000000" w:rsidR="00000000" w:rsidRPr="00000000">
              <w:rPr>
                <w:rtl w:val="0"/>
              </w:rPr>
              <w:t xml:space="preserve">60.13%</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B">
            <w:pPr>
              <w:rPr/>
            </w:pPr>
            <w:r w:rsidDel="00000000" w:rsidR="00000000" w:rsidRPr="00000000">
              <w:rPr>
                <w:rtl w:val="0"/>
              </w:rPr>
              <w:t xml:space="preserve">LVH (Left Ventricular Hypertrophy)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C">
            <w:pPr>
              <w:rPr/>
            </w:pPr>
            <w:r w:rsidDel="00000000" w:rsidR="00000000" w:rsidRPr="00000000">
              <w:rPr>
                <w:rtl w:val="0"/>
              </w:rPr>
              <w:t xml:space="preserve">188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D">
            <w:pPr>
              <w:rPr/>
            </w:pPr>
            <w:r w:rsidDel="00000000" w:rsidR="00000000" w:rsidRPr="00000000">
              <w:rPr>
                <w:rtl w:val="0"/>
              </w:rPr>
              <w:t xml:space="preserve">20.48%</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E">
            <w:pPr>
              <w:rPr/>
            </w:pPr>
            <w:r w:rsidDel="00000000" w:rsidR="00000000" w:rsidRPr="00000000">
              <w:rPr>
                <w:rtl w:val="0"/>
              </w:rPr>
              <w:t xml:space="preserve">ST Abnormalities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F">
            <w:pPr>
              <w:rPr/>
            </w:pPr>
            <w:r w:rsidDel="00000000" w:rsidR="00000000" w:rsidRPr="00000000">
              <w:rPr>
                <w:rtl w:val="0"/>
              </w:rPr>
              <w:t xml:space="preserve">178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0">
            <w:pPr>
              <w:rPr/>
            </w:pPr>
            <w:r w:rsidDel="00000000" w:rsidR="00000000" w:rsidRPr="00000000">
              <w:rPr>
                <w:rtl w:val="0"/>
              </w:rPr>
              <w:t xml:space="preserve">19.39%</w:t>
            </w:r>
          </w:p>
        </w:tc>
      </w:tr>
    </w:tbl>
    <w:p w:rsidR="00000000" w:rsidDel="00000000" w:rsidP="00000000" w:rsidRDefault="00000000" w:rsidRPr="00000000" w14:paraId="00000041">
      <w:pPr>
        <w:rPr>
          <w:b w:val="1"/>
          <w:bCs w:val="1"/>
        </w:rPr>
      </w:pPr>
      <w:r w:rsidDel="00000000" w:rsidR="00000000" w:rsidRPr="00000000">
        <w:rPr>
          <w:b w:val="1"/>
          <w:bCs w:val="1"/>
          <w:rtl w:val="0"/>
        </w:rPr>
        <w:t xml:space="preserve">4.3 Metabolic Interactions (Elevated FBS Group)</w:t>
      </w:r>
    </w:p>
    <w:p w:rsidR="00000000" w:rsidDel="00000000" w:rsidP="00000000" w:rsidRDefault="00000000" w:rsidRPr="00000000" w14:paraId="00000042">
      <w:pPr>
        <w:rPr/>
      </w:pPr>
      <w:r w:rsidDel="00000000" w:rsidR="00000000" w:rsidRPr="00000000">
        <w:rPr>
          <w:rtl w:val="0"/>
        </w:rPr>
        <w:t xml:space="preserve">In the subgroup with elevated fasting blood sugar (n=214), the intersection of symptoms and ECG findings highlights specific risk patterns.</w:t>
      </w:r>
    </w:p>
    <w:tbl>
      <w:tblPr>
        <w:tblStyle w:val="Table4"/>
        <w:tblW w:w="9009.999999999998"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827"/>
        <w:gridCol w:w="1402"/>
        <w:gridCol w:w="2047"/>
        <w:gridCol w:w="1374"/>
        <w:gridCol w:w="1360"/>
        <w:tblGridChange w:id="0">
          <w:tblGrid>
            <w:gridCol w:w="2827"/>
            <w:gridCol w:w="1402"/>
            <w:gridCol w:w="2047"/>
            <w:gridCol w:w="1374"/>
            <w:gridCol w:w="1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3">
            <w:pPr>
              <w:rPr/>
            </w:pPr>
            <w:r w:rsidDel="00000000" w:rsidR="00000000" w:rsidRPr="00000000">
              <w:rPr>
                <w:rtl w:val="0"/>
              </w:rPr>
              <w:t xml:space="preserve">Chest Pain Type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4">
            <w:pPr>
              <w:rPr/>
            </w:pPr>
            <w:r w:rsidDel="00000000" w:rsidR="00000000" w:rsidRPr="00000000">
              <w:rPr>
                <w:rtl w:val="0"/>
              </w:rPr>
              <w:t xml:space="preserve">LVH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5">
            <w:pPr>
              <w:rPr/>
            </w:pPr>
            <w:r w:rsidDel="00000000" w:rsidR="00000000" w:rsidRPr="00000000">
              <w:rPr>
                <w:rtl w:val="0"/>
              </w:rPr>
              <w:t xml:space="preserve">Normal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6">
            <w:pPr>
              <w:rPr/>
            </w:pPr>
            <w:r w:rsidDel="00000000" w:rsidR="00000000" w:rsidRPr="00000000">
              <w:rPr>
                <w:rtl w:val="0"/>
              </w:rPr>
              <w:t xml:space="preserve">ST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7">
            <w:pPr>
              <w:rPr/>
            </w:pPr>
            <w:r w:rsidDel="00000000" w:rsidR="00000000" w:rsidRPr="00000000">
              <w:rPr>
                <w:rtl w:val="0"/>
              </w:rPr>
              <w:t xml:space="preserve">Total</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8">
            <w:pPr>
              <w:rPr/>
            </w:pPr>
            <w:r w:rsidDel="00000000" w:rsidR="00000000" w:rsidRPr="00000000">
              <w:rPr>
                <w:rtl w:val="0"/>
              </w:rPr>
              <w:t xml:space="preserve">ASY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9">
            <w:pPr>
              <w:rPr/>
            </w:pPr>
            <w:r w:rsidDel="00000000" w:rsidR="00000000" w:rsidRPr="00000000">
              <w:rPr>
                <w:rtl w:val="0"/>
              </w:rPr>
              <w:t xml:space="preserve">11.21%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A">
            <w:pPr>
              <w:rPr/>
            </w:pPr>
            <w:r w:rsidDel="00000000" w:rsidR="00000000" w:rsidRPr="00000000">
              <w:rPr>
                <w:rtl w:val="0"/>
              </w:rPr>
              <w:t xml:space="preserve">35.05%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B">
            <w:pPr>
              <w:rPr/>
            </w:pPr>
            <w:r w:rsidDel="00000000" w:rsidR="00000000" w:rsidRPr="00000000">
              <w:rPr>
                <w:rtl w:val="0"/>
              </w:rPr>
              <w:t xml:space="preserve">19.63%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C">
            <w:pPr>
              <w:rPr/>
            </w:pPr>
            <w:r w:rsidDel="00000000" w:rsidR="00000000" w:rsidRPr="00000000">
              <w:rPr>
                <w:rtl w:val="0"/>
              </w:rPr>
              <w:t xml:space="preserve">65.89%</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D">
            <w:pPr>
              <w:rPr/>
            </w:pPr>
            <w:r w:rsidDel="00000000" w:rsidR="00000000" w:rsidRPr="00000000">
              <w:rPr>
                <w:rtl w:val="0"/>
              </w:rPr>
              <w:t xml:space="preserve">ATA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E">
            <w:pPr>
              <w:rPr/>
            </w:pPr>
            <w:r w:rsidDel="00000000" w:rsidR="00000000" w:rsidRPr="00000000">
              <w:rPr>
                <w:rtl w:val="0"/>
              </w:rPr>
              <w:t xml:space="preserve">1.40%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F">
            <w:pPr>
              <w:rPr/>
            </w:pPr>
            <w:r w:rsidDel="00000000" w:rsidR="00000000" w:rsidRPr="00000000">
              <w:rPr>
                <w:rtl w:val="0"/>
              </w:rPr>
              <w:t xml:space="preserve">4.67%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0">
            <w:pPr>
              <w:rPr/>
            </w:pPr>
            <w:r w:rsidDel="00000000" w:rsidR="00000000" w:rsidRPr="00000000">
              <w:rPr>
                <w:rtl w:val="0"/>
              </w:rPr>
              <w:t xml:space="preserve">2.80%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1">
            <w:pPr>
              <w:rPr/>
            </w:pPr>
            <w:r w:rsidDel="00000000" w:rsidR="00000000" w:rsidRPr="00000000">
              <w:rPr>
                <w:rtl w:val="0"/>
              </w:rPr>
              <w:t xml:space="preserve">8.87%</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2">
            <w:pPr>
              <w:rPr/>
            </w:pPr>
            <w:r w:rsidDel="00000000" w:rsidR="00000000" w:rsidRPr="00000000">
              <w:rPr>
                <w:rtl w:val="0"/>
              </w:rPr>
              <w:t xml:space="preserve">NAP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3">
            <w:pPr>
              <w:rPr/>
            </w:pPr>
            <w:r w:rsidDel="00000000" w:rsidR="00000000" w:rsidRPr="00000000">
              <w:rPr>
                <w:rtl w:val="0"/>
              </w:rPr>
              <w:t xml:space="preserve">4.67%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4">
            <w:pPr>
              <w:rPr/>
            </w:pPr>
            <w:r w:rsidDel="00000000" w:rsidR="00000000" w:rsidRPr="00000000">
              <w:rPr>
                <w:rtl w:val="0"/>
              </w:rPr>
              <w:t xml:space="preserve">9.35%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5">
            <w:pPr>
              <w:rPr/>
            </w:pPr>
            <w:r w:rsidDel="00000000" w:rsidR="00000000" w:rsidRPr="00000000">
              <w:rPr>
                <w:rtl w:val="0"/>
              </w:rPr>
              <w:t xml:space="preserve">5.14%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6">
            <w:pPr>
              <w:rPr/>
            </w:pPr>
            <w:r w:rsidDel="00000000" w:rsidR="00000000" w:rsidRPr="00000000">
              <w:rPr>
                <w:rtl w:val="0"/>
              </w:rPr>
              <w:t xml:space="preserve">19.16%</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7">
            <w:pPr>
              <w:rPr/>
            </w:pPr>
            <w:r w:rsidDel="00000000" w:rsidR="00000000" w:rsidRPr="00000000">
              <w:rPr>
                <w:rtl w:val="0"/>
              </w:rPr>
              <w:t xml:space="preserve">TA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8">
            <w:pPr>
              <w:rPr/>
            </w:pPr>
            <w:r w:rsidDel="00000000" w:rsidR="00000000" w:rsidRPr="00000000">
              <w:rPr>
                <w:rtl w:val="0"/>
              </w:rPr>
              <w:t xml:space="preserve">2.34%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9">
            <w:pPr>
              <w:rPr/>
            </w:pPr>
            <w:r w:rsidDel="00000000" w:rsidR="00000000" w:rsidRPr="00000000">
              <w:rPr>
                <w:rtl w:val="0"/>
              </w:rPr>
              <w:t xml:space="preserve">2.80%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A">
            <w:pPr>
              <w:rPr/>
            </w:pPr>
            <w:r w:rsidDel="00000000" w:rsidR="00000000" w:rsidRPr="00000000">
              <w:rPr>
                <w:rtl w:val="0"/>
              </w:rPr>
              <w:t xml:space="preserve">0.93%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B">
            <w:pPr>
              <w:rPr/>
            </w:pPr>
            <w:r w:rsidDel="00000000" w:rsidR="00000000" w:rsidRPr="00000000">
              <w:rPr>
                <w:rtl w:val="0"/>
              </w:rPr>
              <w:t xml:space="preserve">6.07%</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C">
            <w:pPr>
              <w:rPr/>
            </w:pPr>
            <w:r w:rsidDel="00000000" w:rsidR="00000000" w:rsidRPr="00000000">
              <w:rPr>
                <w:b w:val="1"/>
                <w:bCs w:val="1"/>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D">
            <w:pPr>
              <w:rPr/>
            </w:pPr>
            <w:r w:rsidDel="00000000" w:rsidR="00000000" w:rsidRPr="00000000">
              <w:rPr>
                <w:b w:val="1"/>
                <w:bCs w:val="1"/>
                <w:rtl w:val="0"/>
              </w:rPr>
              <w:t xml:space="preserve">19.62%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E">
            <w:pPr>
              <w:rPr/>
            </w:pPr>
            <w:r w:rsidDel="00000000" w:rsidR="00000000" w:rsidRPr="00000000">
              <w:rPr>
                <w:b w:val="1"/>
                <w:bCs w:val="1"/>
                <w:rtl w:val="0"/>
              </w:rPr>
              <w:t xml:space="preserve">51.87%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F">
            <w:pPr>
              <w:rPr/>
            </w:pPr>
            <w:r w:rsidDel="00000000" w:rsidR="00000000" w:rsidRPr="00000000">
              <w:rPr>
                <w:b w:val="1"/>
                <w:bCs w:val="1"/>
                <w:rtl w:val="0"/>
              </w:rPr>
              <w:t xml:space="preserve">28.50%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0">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61">
      <w:pPr>
        <w:rPr>
          <w:b w:val="1"/>
          <w:bCs w:val="1"/>
        </w:rPr>
      </w:pPr>
      <w:r w:rsidDel="00000000" w:rsidR="00000000" w:rsidRPr="00000000">
        <w:rPr>
          <w:b w:val="1"/>
          <w:bCs w:val="1"/>
          <w:rtl w:val="0"/>
        </w:rPr>
        <w:t xml:space="preserve">4.4 Comparative Analysis of MaxHR</w:t>
      </w:r>
    </w:p>
    <w:p w:rsidR="00000000" w:rsidDel="00000000" w:rsidP="00000000" w:rsidRDefault="00000000" w:rsidRPr="00000000" w14:paraId="00000062">
      <w:pPr>
        <w:rPr/>
      </w:pPr>
      <w:r w:rsidDel="00000000" w:rsidR="00000000" w:rsidRPr="00000000">
        <w:rPr>
          <w:rtl w:val="0"/>
        </w:rPr>
        <w:t xml:space="preserve">Descriptive statistics reveal that asymptomatic individuals exhibit the lowest MaxHR performance compared to symptomatic groups.</w:t>
      </w:r>
    </w:p>
    <w:tbl>
      <w:tblPr>
        <w:tblStyle w:val="Table5"/>
        <w:tblW w:w="9009.999999999998"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904"/>
        <w:gridCol w:w="613"/>
        <w:gridCol w:w="1911"/>
        <w:gridCol w:w="893"/>
        <w:gridCol w:w="1200"/>
        <w:gridCol w:w="1489"/>
        <w:tblGridChange w:id="0">
          <w:tblGrid>
            <w:gridCol w:w="2904"/>
            <w:gridCol w:w="613"/>
            <w:gridCol w:w="1911"/>
            <w:gridCol w:w="893"/>
            <w:gridCol w:w="1200"/>
            <w:gridCol w:w="1489"/>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3">
            <w:pPr>
              <w:rPr/>
            </w:pPr>
            <w:r w:rsidDel="00000000" w:rsidR="00000000" w:rsidRPr="00000000">
              <w:rPr>
                <w:rtl w:val="0"/>
              </w:rPr>
              <w:t xml:space="preserve">Chest Pain Type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4">
            <w:pPr>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5">
            <w:pPr>
              <w:rPr/>
            </w:pPr>
            <w:r w:rsidDel="00000000" w:rsidR="00000000" w:rsidRPr="00000000">
              <w:rPr>
                <w:rtl w:val="0"/>
              </w:rPr>
              <w:t xml:space="preserve">Mean (bpm)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6">
            <w:pPr>
              <w:rPr/>
            </w:pPr>
            <w:r w:rsidDel="00000000" w:rsidR="00000000" w:rsidRPr="00000000">
              <w:rPr>
                <w:rtl w:val="0"/>
              </w:rPr>
              <w:t xml:space="preserve">SD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7">
            <w:pPr>
              <w:rPr/>
            </w:pPr>
            <w:r w:rsidDel="00000000" w:rsidR="00000000" w:rsidRPr="00000000">
              <w:rPr>
                <w:rtl w:val="0"/>
              </w:rPr>
              <w:t xml:space="preserve">Median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8">
            <w:pPr>
              <w:rPr/>
            </w:pPr>
            <w:r w:rsidDel="00000000" w:rsidR="00000000" w:rsidRPr="00000000">
              <w:rPr>
                <w:rtl w:val="0"/>
              </w:rPr>
              <w:t xml:space="preserve">Skewness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9">
            <w:pPr>
              <w:rPr/>
            </w:pPr>
            <w:r w:rsidDel="00000000" w:rsidR="00000000" w:rsidRPr="00000000">
              <w:rPr>
                <w:rtl w:val="0"/>
              </w:rPr>
              <w:t xml:space="preserve">ASY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A">
            <w:pPr>
              <w:rPr/>
            </w:pPr>
            <w:r w:rsidDel="00000000" w:rsidR="00000000" w:rsidRPr="00000000">
              <w:rPr>
                <w:rtl w:val="0"/>
              </w:rPr>
              <w:t xml:space="preserve">496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B">
            <w:pPr>
              <w:rPr/>
            </w:pPr>
            <w:r w:rsidDel="00000000" w:rsidR="00000000" w:rsidRPr="00000000">
              <w:rPr>
                <w:rtl w:val="0"/>
              </w:rPr>
              <w:t xml:space="preserve">128.48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C">
            <w:pPr>
              <w:rPr/>
            </w:pPr>
            <w:r w:rsidDel="00000000" w:rsidR="00000000" w:rsidRPr="00000000">
              <w:rPr>
                <w:rtl w:val="0"/>
              </w:rPr>
              <w:t xml:space="preserve">23.48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D">
            <w:pPr>
              <w:rPr/>
            </w:pPr>
            <w:r w:rsidDel="00000000" w:rsidR="00000000" w:rsidRPr="00000000">
              <w:rPr>
                <w:rtl w:val="0"/>
              </w:rPr>
              <w:t xml:space="preserve">128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E">
            <w:pPr>
              <w:rPr/>
            </w:pPr>
            <w:r w:rsidDel="00000000" w:rsidR="00000000" w:rsidRPr="00000000">
              <w:rPr>
                <w:rtl w:val="0"/>
              </w:rPr>
              <w:t xml:space="preserve">-0.01</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F">
            <w:pPr>
              <w:rPr/>
            </w:pPr>
            <w:r w:rsidDel="00000000" w:rsidR="00000000" w:rsidRPr="00000000">
              <w:rPr>
                <w:rtl w:val="0"/>
              </w:rPr>
              <w:t xml:space="preserve">ATA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0">
            <w:pPr>
              <w:rPr/>
            </w:pPr>
            <w:r w:rsidDel="00000000" w:rsidR="00000000" w:rsidRPr="00000000">
              <w:rPr>
                <w:rtl w:val="0"/>
              </w:rPr>
              <w:t xml:space="preserve">173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1">
            <w:pPr>
              <w:rPr/>
            </w:pPr>
            <w:r w:rsidDel="00000000" w:rsidR="00000000" w:rsidRPr="00000000">
              <w:rPr>
                <w:rtl w:val="0"/>
              </w:rPr>
              <w:t xml:space="preserve">150.21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2">
            <w:pPr>
              <w:rPr/>
            </w:pPr>
            <w:r w:rsidDel="00000000" w:rsidR="00000000" w:rsidRPr="00000000">
              <w:rPr>
                <w:rtl w:val="0"/>
              </w:rPr>
              <w:t xml:space="preserve">22.28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3">
            <w:pPr>
              <w:rPr/>
            </w:pPr>
            <w:r w:rsidDel="00000000" w:rsidR="00000000" w:rsidRPr="00000000">
              <w:rPr>
                <w:rtl w:val="0"/>
              </w:rPr>
              <w:t xml:space="preserve">152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4">
            <w:pPr>
              <w:rPr/>
            </w:pPr>
            <w:r w:rsidDel="00000000" w:rsidR="00000000" w:rsidRPr="00000000">
              <w:rPr>
                <w:rtl w:val="0"/>
              </w:rPr>
              <w:t xml:space="preserve">-0.41</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5">
            <w:pPr>
              <w:rPr/>
            </w:pPr>
            <w:r w:rsidDel="00000000" w:rsidR="00000000" w:rsidRPr="00000000">
              <w:rPr>
                <w:rtl w:val="0"/>
              </w:rPr>
              <w:t xml:space="preserve">NAP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6">
            <w:pPr>
              <w:rPr/>
            </w:pPr>
            <w:r w:rsidDel="00000000" w:rsidR="00000000" w:rsidRPr="00000000">
              <w:rPr>
                <w:rtl w:val="0"/>
              </w:rPr>
              <w:t xml:space="preserve">203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7">
            <w:pPr>
              <w:rPr/>
            </w:pPr>
            <w:r w:rsidDel="00000000" w:rsidR="00000000" w:rsidRPr="00000000">
              <w:rPr>
                <w:rtl w:val="0"/>
              </w:rPr>
              <w:t xml:space="preserve">143.24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8">
            <w:pPr>
              <w:rPr/>
            </w:pPr>
            <w:r w:rsidDel="00000000" w:rsidR="00000000" w:rsidRPr="00000000">
              <w:rPr>
                <w:rtl w:val="0"/>
              </w:rPr>
              <w:t xml:space="preserve">25.61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9">
            <w:pPr>
              <w:rPr/>
            </w:pPr>
            <w:r w:rsidDel="00000000" w:rsidR="00000000" w:rsidRPr="00000000">
              <w:rPr>
                <w:rtl w:val="0"/>
              </w:rPr>
              <w:t xml:space="preserve">N/R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A">
            <w:pPr>
              <w:rPr/>
            </w:pPr>
            <w:r w:rsidDel="00000000" w:rsidR="00000000" w:rsidRPr="00000000">
              <w:rPr>
                <w:rtl w:val="0"/>
              </w:rPr>
              <w:t xml:space="preserve">-0.45</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B">
            <w:pPr>
              <w:rPr/>
            </w:pPr>
            <w:r w:rsidDel="00000000" w:rsidR="00000000" w:rsidRPr="00000000">
              <w:rPr>
                <w:rtl w:val="0"/>
              </w:rPr>
              <w:t xml:space="preserve">TA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C">
            <w:pPr>
              <w:rPr/>
            </w:pPr>
            <w:r w:rsidDel="00000000" w:rsidR="00000000" w:rsidRPr="00000000">
              <w:rPr>
                <w:rtl w:val="0"/>
              </w:rPr>
              <w:t xml:space="preserve">46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D">
            <w:pPr>
              <w:rPr/>
            </w:pPr>
            <w:r w:rsidDel="00000000" w:rsidR="00000000" w:rsidRPr="00000000">
              <w:rPr>
                <w:rtl w:val="0"/>
              </w:rPr>
              <w:t xml:space="preserve">147.89</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E">
            <w:pPr>
              <w:rPr/>
            </w:pPr>
            <w:r w:rsidDel="00000000" w:rsidR="00000000" w:rsidRPr="00000000">
              <w:rPr>
                <w:rtl w:val="0"/>
              </w:rPr>
              <w:t xml:space="preserve">23.13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F">
            <w:pPr>
              <w:rPr/>
            </w:pPr>
            <w:r w:rsidDel="00000000" w:rsidR="00000000" w:rsidRPr="00000000">
              <w:rPr>
                <w:rtl w:val="0"/>
              </w:rPr>
              <w:t xml:space="preserve">N/R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0">
            <w:pPr>
              <w:rPr/>
            </w:pPr>
            <w:r w:rsidDel="00000000" w:rsidR="00000000" w:rsidRPr="00000000">
              <w:rPr>
                <w:rtl w:val="0"/>
              </w:rPr>
              <w:t xml:space="preserve">-0.08</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1">
            <w:pPr>
              <w:rPr/>
            </w:pPr>
            <w:r w:rsidDel="00000000" w:rsidR="00000000" w:rsidRPr="00000000">
              <w:rPr>
                <w:i w:val="1"/>
                <w:iCs w:val="1"/>
                <w:rtl w:val="0"/>
              </w:rPr>
              <w:t xml:space="preserve">N/R: Not Reported.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3">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5">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6">
            <w:pPr>
              <w:rPr/>
            </w:pP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10.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793"/>
        <w:gridCol w:w="825"/>
        <w:gridCol w:w="2574"/>
        <w:gridCol w:w="1616"/>
        <w:gridCol w:w="1202"/>
        <w:tblGridChange w:id="0">
          <w:tblGrid>
            <w:gridCol w:w="2793"/>
            <w:gridCol w:w="825"/>
            <w:gridCol w:w="2574"/>
            <w:gridCol w:w="1616"/>
            <w:gridCol w:w="120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8">
            <w:pPr>
              <w:rPr/>
            </w:pPr>
            <w:r w:rsidDel="00000000" w:rsidR="00000000" w:rsidRPr="00000000">
              <w:rPr>
                <w:rtl w:val="0"/>
              </w:rPr>
              <w:t xml:space="preserve">ECG Category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9">
            <w:pPr>
              <w:rPr/>
            </w:pPr>
            <w:r w:rsidDel="00000000" w:rsidR="00000000" w:rsidRPr="00000000">
              <w:rPr>
                <w:rtl w:val="0"/>
              </w:rPr>
              <w:t xml:space="preserve">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A">
            <w:pPr>
              <w:rPr/>
            </w:pPr>
            <w:r w:rsidDel="00000000" w:rsidR="00000000" w:rsidRPr="00000000">
              <w:rPr>
                <w:rtl w:val="0"/>
              </w:rPr>
              <w:t xml:space="preserve">Mean (bpm)</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B">
            <w:pPr>
              <w:rPr/>
            </w:pPr>
            <w:r w:rsidDel="00000000" w:rsidR="00000000" w:rsidRPr="00000000">
              <w:rPr>
                <w:rtl w:val="0"/>
              </w:rPr>
              <w:t xml:space="preserve">Median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C">
            <w:pPr>
              <w:rPr/>
            </w:pPr>
            <w:r w:rsidDel="00000000" w:rsidR="00000000" w:rsidRPr="00000000">
              <w:rPr>
                <w:rtl w:val="0"/>
              </w:rPr>
              <w:t xml:space="preserve">SD</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D">
            <w:pPr>
              <w:rPr/>
            </w:pPr>
            <w:r w:rsidDel="00000000" w:rsidR="00000000" w:rsidRPr="00000000">
              <w:rPr>
                <w:rtl w:val="0"/>
              </w:rPr>
              <w:t xml:space="preserve">LVH</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E">
            <w:pPr>
              <w:rPr/>
            </w:pPr>
            <w:r w:rsidDel="00000000" w:rsidR="00000000" w:rsidRPr="00000000">
              <w:rPr>
                <w:rtl w:val="0"/>
              </w:rPr>
              <w:t xml:space="preserve">188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F">
            <w:pPr>
              <w:rPr/>
            </w:pPr>
            <w:r w:rsidDel="00000000" w:rsidR="00000000" w:rsidRPr="00000000">
              <w:rPr>
                <w:rtl w:val="0"/>
              </w:rPr>
              <w:t xml:space="preserve">143.12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0">
            <w:pPr>
              <w:rPr/>
            </w:pPr>
            <w:r w:rsidDel="00000000" w:rsidR="00000000" w:rsidRPr="00000000">
              <w:rPr>
                <w:rtl w:val="0"/>
              </w:rPr>
              <w:t xml:space="preserve">145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1">
            <w:pPr>
              <w:rPr/>
            </w:pPr>
            <w:r w:rsidDel="00000000" w:rsidR="00000000" w:rsidRPr="00000000">
              <w:rPr>
                <w:rtl w:val="0"/>
              </w:rPr>
              <w:t xml:space="preserve">24.06</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2">
            <w:pPr>
              <w:rPr/>
            </w:pPr>
            <w:r w:rsidDel="00000000" w:rsidR="00000000" w:rsidRPr="00000000">
              <w:rPr>
                <w:rtl w:val="0"/>
              </w:rPr>
              <w:t xml:space="preserve">Normal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3">
            <w:pPr>
              <w:rPr/>
            </w:pPr>
            <w:r w:rsidDel="00000000" w:rsidR="00000000" w:rsidRPr="00000000">
              <w:rPr>
                <w:rtl w:val="0"/>
              </w:rPr>
              <w:t xml:space="preserve">552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4">
            <w:pPr>
              <w:rPr/>
            </w:pPr>
            <w:r w:rsidDel="00000000" w:rsidR="00000000" w:rsidRPr="00000000">
              <w:rPr>
                <w:rtl w:val="0"/>
              </w:rPr>
              <w:t xml:space="preserve">137.30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5">
            <w:pPr>
              <w:rPr/>
            </w:pPr>
            <w:r w:rsidDel="00000000" w:rsidR="00000000" w:rsidRPr="00000000">
              <w:rPr>
                <w:rtl w:val="0"/>
              </w:rPr>
              <w:t xml:space="preserve">139.5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6">
            <w:pPr>
              <w:rPr/>
            </w:pPr>
            <w:r w:rsidDel="00000000" w:rsidR="00000000" w:rsidRPr="00000000">
              <w:rPr>
                <w:rtl w:val="0"/>
              </w:rPr>
              <w:t xml:space="preserve">26.05</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7">
            <w:pPr>
              <w:rPr/>
            </w:pPr>
            <w:r w:rsidDel="00000000" w:rsidR="00000000" w:rsidRPr="00000000">
              <w:rPr>
                <w:rtl w:val="0"/>
              </w:rPr>
              <w:t xml:space="preserve">ST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8">
            <w:pPr>
              <w:rPr/>
            </w:pPr>
            <w:r w:rsidDel="00000000" w:rsidR="00000000" w:rsidRPr="00000000">
              <w:rPr>
                <w:rtl w:val="0"/>
              </w:rPr>
              <w:t xml:space="preserve">178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9">
            <w:pPr>
              <w:rPr/>
            </w:pPr>
            <w:r w:rsidDel="00000000" w:rsidR="00000000" w:rsidRPr="00000000">
              <w:rPr>
                <w:rtl w:val="0"/>
              </w:rPr>
              <w:t xml:space="preserve">128.62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A">
            <w:pPr>
              <w:rPr/>
            </w:pPr>
            <w:r w:rsidDel="00000000" w:rsidR="00000000" w:rsidRPr="00000000">
              <w:rPr>
                <w:rtl w:val="0"/>
              </w:rPr>
              <w:t xml:space="preserve">128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B">
            <w:pPr>
              <w:rPr/>
            </w:pPr>
            <w:r w:rsidDel="00000000" w:rsidR="00000000" w:rsidRPr="00000000">
              <w:rPr>
                <w:rtl w:val="0"/>
              </w:rPr>
              <w:t xml:space="preserve">22.90</w:t>
            </w:r>
          </w:p>
        </w:tc>
      </w:tr>
    </w:tbl>
    <w:p w:rsidR="00000000" w:rsidDel="00000000" w:rsidP="00000000" w:rsidRDefault="00000000" w:rsidRPr="00000000" w14:paraId="0000009C">
      <w:pPr>
        <w:rPr>
          <w:b w:val="1"/>
          <w:bCs w:val="1"/>
        </w:rPr>
      </w:pPr>
      <w:r w:rsidDel="00000000" w:rsidR="00000000" w:rsidRPr="00000000">
        <w:rPr>
          <w:b w:val="1"/>
          <w:bCs w:val="1"/>
          <w:rtl w:val="0"/>
        </w:rPr>
        <w:t xml:space="preserve">4.5 Inferential Statistics (Post-Hoc Analysis)</w:t>
      </w:r>
    </w:p>
    <w:p w:rsidR="00000000" w:rsidDel="00000000" w:rsidP="00000000" w:rsidRDefault="00000000" w:rsidRPr="00000000" w14:paraId="0000009D">
      <w:pPr>
        <w:rPr/>
      </w:pPr>
      <w:r w:rsidDel="00000000" w:rsidR="00000000" w:rsidRPr="00000000">
        <w:rPr>
          <w:rtl w:val="0"/>
        </w:rPr>
        <w:t xml:space="preserve">Tukey-Adjusted post-hoc testing confirms significant differences in MaxHR across ECG categories.</w:t>
      </w:r>
    </w:p>
    <w:tbl>
      <w:tblPr>
        <w:tblStyle w:val="Table7"/>
        <w:tblW w:w="9010.00000000000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962"/>
        <w:gridCol w:w="1914"/>
        <w:gridCol w:w="1002"/>
        <w:gridCol w:w="1491"/>
        <w:gridCol w:w="1641"/>
        <w:tblGridChange w:id="0">
          <w:tblGrid>
            <w:gridCol w:w="2962"/>
            <w:gridCol w:w="1914"/>
            <w:gridCol w:w="1002"/>
            <w:gridCol w:w="1491"/>
            <w:gridCol w:w="164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E">
            <w:pPr>
              <w:rPr/>
            </w:pPr>
            <w:r w:rsidDel="00000000" w:rsidR="00000000" w:rsidRPr="00000000">
              <w:rPr>
                <w:rtl w:val="0"/>
              </w:rPr>
              <w:t xml:space="preserve">Contrast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F">
            <w:pPr>
              <w:rPr/>
            </w:pPr>
            <w:r w:rsidDel="00000000" w:rsidR="00000000" w:rsidRPr="00000000">
              <w:rPr>
                <w:rtl w:val="0"/>
              </w:rPr>
              <w:t xml:space="preserve">Estimate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0">
            <w:pPr>
              <w:rPr/>
            </w:pPr>
            <w:r w:rsidDel="00000000" w:rsidR="00000000" w:rsidRPr="00000000">
              <w:rPr>
                <w:rtl w:val="0"/>
              </w:rPr>
              <w:t xml:space="preserve">SE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1">
            <w:pPr>
              <w:rPr/>
            </w:pPr>
            <w:r w:rsidDel="00000000" w:rsidR="00000000" w:rsidRPr="00000000">
              <w:rPr>
                <w:rtl w:val="0"/>
              </w:rPr>
              <w:t xml:space="preserve">t-Ratio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rPr/>
            </w:pPr>
            <w:r w:rsidDel="00000000" w:rsidR="00000000" w:rsidRPr="00000000">
              <w:rPr>
                <w:rtl w:val="0"/>
              </w:rPr>
              <w:t xml:space="preserve">p-value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3">
            <w:pPr>
              <w:rPr/>
            </w:pPr>
            <w:r w:rsidDel="00000000" w:rsidR="00000000" w:rsidRPr="00000000">
              <w:rPr>
                <w:rtl w:val="0"/>
              </w:rPr>
              <w:t xml:space="preserve">LVH – Normal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4">
            <w:pPr>
              <w:rPr/>
            </w:pPr>
            <w:r w:rsidDel="00000000" w:rsidR="00000000" w:rsidRPr="00000000">
              <w:rPr>
                <w:rtl w:val="0"/>
              </w:rPr>
              <w:t xml:space="preserve">71.4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5">
            <w:pPr>
              <w:rPr/>
            </w:pPr>
            <w:r w:rsidDel="00000000" w:rsidR="00000000" w:rsidRPr="00000000">
              <w:rPr>
                <w:rtl w:val="0"/>
              </w:rPr>
              <w:t xml:space="preserve">37.0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rPr/>
            </w:pPr>
            <w:r w:rsidDel="00000000" w:rsidR="00000000" w:rsidRPr="00000000">
              <w:rPr>
                <w:rtl w:val="0"/>
              </w:rPr>
              <w:t xml:space="preserve">1.928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7">
            <w:pPr>
              <w:rPr/>
            </w:pPr>
            <w:r w:rsidDel="00000000" w:rsidR="00000000" w:rsidRPr="00000000">
              <w:rPr>
                <w:rtl w:val="0"/>
              </w:rPr>
              <w:t xml:space="preserve">0.1314</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8">
            <w:pPr>
              <w:rPr/>
            </w:pPr>
            <w:r w:rsidDel="00000000" w:rsidR="00000000" w:rsidRPr="00000000">
              <w:rPr>
                <w:rtl w:val="0"/>
              </w:rPr>
              <w:t xml:space="preserve">LVH – ST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rPr/>
            </w:pPr>
            <w:r w:rsidDel="00000000" w:rsidR="00000000" w:rsidRPr="00000000">
              <w:rPr>
                <w:rtl w:val="0"/>
              </w:rPr>
              <w:t xml:space="preserve">174.7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rPr/>
            </w:pPr>
            <w:r w:rsidDel="00000000" w:rsidR="00000000" w:rsidRPr="00000000">
              <w:rPr>
                <w:rtl w:val="0"/>
              </w:rPr>
              <w:t xml:space="preserve">45.4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rPr/>
            </w:pPr>
            <w:r w:rsidDel="00000000" w:rsidR="00000000" w:rsidRPr="00000000">
              <w:rPr>
                <w:rtl w:val="0"/>
              </w:rPr>
              <w:t xml:space="preserve">3.848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rPr/>
            </w:pPr>
            <w:r w:rsidDel="00000000" w:rsidR="00000000" w:rsidRPr="00000000">
              <w:rPr>
                <w:b w:val="1"/>
                <w:bCs w:val="1"/>
                <w:rtl w:val="0"/>
              </w:rPr>
              <w:t xml:space="preserve">0.0004</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D">
            <w:pPr>
              <w:rPr/>
            </w:pPr>
            <w:r w:rsidDel="00000000" w:rsidR="00000000" w:rsidRPr="00000000">
              <w:rPr>
                <w:rtl w:val="0"/>
              </w:rPr>
              <w:t xml:space="preserve">Normal – ST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E">
            <w:pPr>
              <w:rPr/>
            </w:pPr>
            <w:r w:rsidDel="00000000" w:rsidR="00000000" w:rsidRPr="00000000">
              <w:rPr>
                <w:rtl w:val="0"/>
              </w:rPr>
              <w:t xml:space="preserve">103.3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F">
            <w:pPr>
              <w:rPr/>
            </w:pPr>
            <w:r w:rsidDel="00000000" w:rsidR="00000000" w:rsidRPr="00000000">
              <w:rPr>
                <w:rtl w:val="0"/>
              </w:rPr>
              <w:t xml:space="preserve">39.8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0">
            <w:pPr>
              <w:rPr/>
            </w:pPr>
            <w:r w:rsidDel="00000000" w:rsidR="00000000" w:rsidRPr="00000000">
              <w:rPr>
                <w:rtl w:val="0"/>
              </w:rPr>
              <w:t xml:space="preserve">2.594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1">
            <w:pPr>
              <w:rPr/>
            </w:pPr>
            <w:r w:rsidDel="00000000" w:rsidR="00000000" w:rsidRPr="00000000">
              <w:rPr>
                <w:b w:val="1"/>
                <w:bCs w:val="1"/>
                <w:rtl w:val="0"/>
              </w:rPr>
              <w:t xml:space="preserve">0.0261</w:t>
            </w:r>
            <w:r w:rsidDel="00000000" w:rsidR="00000000" w:rsidRPr="00000000">
              <w:rPr>
                <w:rtl w:val="0"/>
              </w:rPr>
            </w:r>
          </w:p>
        </w:tc>
      </w:tr>
    </w:tbl>
    <w:p w:rsidR="00000000" w:rsidDel="00000000" w:rsidP="00000000" w:rsidRDefault="00000000" w:rsidRPr="00000000" w14:paraId="000000B2">
      <w:pPr>
        <w:rPr>
          <w:b w:val="1"/>
          <w:bCs w:val="1"/>
        </w:rPr>
      </w:pPr>
      <w:r w:rsidDel="00000000" w:rsidR="00000000" w:rsidRPr="00000000">
        <w:rPr>
          <w:b w:val="1"/>
          <w:bCs w:val="1"/>
          <w:rtl w:val="0"/>
        </w:rPr>
        <w:t xml:space="preserve">4.6 Estimated Marginal Means (EMMs)</w:t>
      </w:r>
    </w:p>
    <w:p w:rsidR="00000000" w:rsidDel="00000000" w:rsidP="00000000" w:rsidRDefault="00000000" w:rsidRPr="00000000" w14:paraId="000000B3">
      <w:pPr>
        <w:rPr>
          <w:b w:val="1"/>
          <w:bCs w:val="1"/>
        </w:rPr>
      </w:pPr>
      <w:r w:rsidDel="00000000" w:rsidR="00000000" w:rsidRPr="00000000">
        <w:rPr>
          <w:b w:val="1"/>
          <w:bCs w:val="1"/>
          <w:rtl w:val="0"/>
        </w:rPr>
        <w:t xml:space="preserve">Table 4.6a: Group — Normal Fasting Blood Sugar</w:t>
      </w:r>
    </w:p>
    <w:tbl>
      <w:tblPr>
        <w:tblStyle w:val="Table8"/>
        <w:tblW w:w="9026.0" w:type="dxa"/>
        <w:jc w:val="left"/>
        <w:tblLayout w:type="fixed"/>
        <w:tblLook w:val="0400"/>
      </w:tblPr>
      <w:tblGrid>
        <w:gridCol w:w="2120"/>
        <w:gridCol w:w="1078"/>
        <w:gridCol w:w="1647"/>
        <w:gridCol w:w="1694"/>
        <w:gridCol w:w="2487"/>
        <w:tblGridChange w:id="0">
          <w:tblGrid>
            <w:gridCol w:w="2120"/>
            <w:gridCol w:w="1078"/>
            <w:gridCol w:w="1647"/>
            <w:gridCol w:w="1694"/>
            <w:gridCol w:w="2487"/>
          </w:tblGrid>
        </w:tblGridChange>
      </w:tblGrid>
      <w:tr>
        <w:trPr>
          <w:cantSplit w:val="0"/>
          <w:tblHeader w:val="0"/>
        </w:trPr>
        <w:tc>
          <w:tcPr>
            <w:tcBorders>
              <w:bottom w:color="919191" w:space="0" w:sz="4" w:val="single"/>
            </w:tcBorders>
          </w:tcPr>
          <w:p w:rsidR="00000000" w:rsidDel="00000000" w:rsidP="00000000" w:rsidRDefault="00000000" w:rsidRPr="00000000" w14:paraId="000000B4">
            <w:pPr>
              <w:rPr>
                <w:b w:val="1"/>
                <w:bCs w:val="1"/>
              </w:rPr>
            </w:pPr>
            <w:r w:rsidDel="00000000" w:rsidR="00000000" w:rsidRPr="00000000">
              <w:rPr>
                <w:b w:val="1"/>
                <w:bCs w:val="1"/>
                <w:rtl w:val="0"/>
              </w:rPr>
              <w:t xml:space="preserve">Chest Pain Type</w:t>
            </w:r>
          </w:p>
        </w:tc>
        <w:tc>
          <w:tcPr>
            <w:tcBorders>
              <w:bottom w:color="919191" w:space="0" w:sz="4" w:val="single"/>
            </w:tcBorders>
          </w:tcPr>
          <w:p w:rsidR="00000000" w:rsidDel="00000000" w:rsidP="00000000" w:rsidRDefault="00000000" w:rsidRPr="00000000" w14:paraId="000000B5">
            <w:pPr>
              <w:rPr>
                <w:b w:val="1"/>
                <w:bCs w:val="1"/>
              </w:rPr>
            </w:pPr>
            <w:r w:rsidDel="00000000" w:rsidR="00000000" w:rsidRPr="00000000">
              <w:rPr>
                <w:b w:val="1"/>
                <w:bCs w:val="1"/>
                <w:rtl w:val="0"/>
              </w:rPr>
              <w:t xml:space="preserve">ECG Finding</w:t>
            </w:r>
          </w:p>
        </w:tc>
        <w:tc>
          <w:tcPr>
            <w:tcBorders>
              <w:bottom w:color="919191" w:space="0" w:sz="4" w:val="single"/>
            </w:tcBorders>
          </w:tcPr>
          <w:p w:rsidR="00000000" w:rsidDel="00000000" w:rsidP="00000000" w:rsidRDefault="00000000" w:rsidRPr="00000000" w14:paraId="000000B6">
            <w:pPr>
              <w:rPr>
                <w:b w:val="1"/>
                <w:bCs w:val="1"/>
              </w:rPr>
            </w:pPr>
            <w:r w:rsidDel="00000000" w:rsidR="00000000" w:rsidRPr="00000000">
              <w:rPr>
                <w:b w:val="1"/>
                <w:bCs w:val="1"/>
                <w:rtl w:val="0"/>
              </w:rPr>
              <w:t xml:space="preserve">EMMean (MaxHR)</w:t>
            </w:r>
          </w:p>
        </w:tc>
        <w:tc>
          <w:tcPr>
            <w:tcBorders>
              <w:bottom w:color="919191" w:space="0" w:sz="4" w:val="single"/>
            </w:tcBorders>
          </w:tcPr>
          <w:p w:rsidR="00000000" w:rsidDel="00000000" w:rsidP="00000000" w:rsidRDefault="00000000" w:rsidRPr="00000000" w14:paraId="000000B7">
            <w:pPr>
              <w:rPr>
                <w:b w:val="1"/>
                <w:bCs w:val="1"/>
              </w:rPr>
            </w:pPr>
            <w:r w:rsidDel="00000000" w:rsidR="00000000" w:rsidRPr="00000000">
              <w:rPr>
                <w:b w:val="1"/>
                <w:bCs w:val="1"/>
                <w:rtl w:val="0"/>
              </w:rPr>
              <w:t xml:space="preserve">Standard Error (SE)</w:t>
            </w:r>
          </w:p>
        </w:tc>
        <w:tc>
          <w:tcPr>
            <w:tcBorders>
              <w:bottom w:color="919191" w:space="0" w:sz="4" w:val="single"/>
            </w:tcBorders>
          </w:tcPr>
          <w:p w:rsidR="00000000" w:rsidDel="00000000" w:rsidP="00000000" w:rsidRDefault="00000000" w:rsidRPr="00000000" w14:paraId="000000B8">
            <w:pPr>
              <w:rPr>
                <w:b w:val="1"/>
                <w:bCs w:val="1"/>
              </w:rPr>
            </w:pPr>
            <w:r w:rsidDel="00000000" w:rsidR="00000000" w:rsidRPr="00000000">
              <w:rPr>
                <w:b w:val="1"/>
                <w:bCs w:val="1"/>
                <w:rtl w:val="0"/>
              </w:rPr>
              <w:t xml:space="preserve">95% Confidence Interval (CI)</w:t>
            </w:r>
          </w:p>
        </w:tc>
      </w:tr>
      <w:tr>
        <w:trPr>
          <w:cantSplit w:val="0"/>
          <w:tblHeader w:val="0"/>
        </w:trPr>
        <w:tc>
          <w:tcPr>
            <w:tcBorders>
              <w:bottom w:color="dde1eb" w:space="0" w:sz="4" w:val="single"/>
            </w:tcBorders>
          </w:tcPr>
          <w:p w:rsidR="00000000" w:rsidDel="00000000" w:rsidP="00000000" w:rsidRDefault="00000000" w:rsidRPr="00000000" w14:paraId="000000B9">
            <w:pPr>
              <w:rPr>
                <w:b w:val="1"/>
                <w:bCs w:val="1"/>
              </w:rPr>
            </w:pPr>
            <w:r w:rsidDel="00000000" w:rsidR="00000000" w:rsidRPr="00000000">
              <w:rPr>
                <w:b w:val="1"/>
                <w:bCs w:val="1"/>
                <w:rtl w:val="0"/>
              </w:rPr>
              <w:t xml:space="preserve">ASY (Asymptomatic)</w:t>
            </w:r>
          </w:p>
        </w:tc>
        <w:tc>
          <w:tcPr>
            <w:tcBorders>
              <w:bottom w:color="dde1eb" w:space="0" w:sz="4" w:val="single"/>
            </w:tcBorders>
          </w:tcPr>
          <w:p w:rsidR="00000000" w:rsidDel="00000000" w:rsidP="00000000" w:rsidRDefault="00000000" w:rsidRPr="00000000" w14:paraId="000000BA">
            <w:pPr>
              <w:rPr>
                <w:b w:val="1"/>
                <w:bCs w:val="1"/>
              </w:rPr>
            </w:pPr>
            <w:r w:rsidDel="00000000" w:rsidR="00000000" w:rsidRPr="00000000">
              <w:rPr>
                <w:b w:val="1"/>
                <w:bCs w:val="1"/>
                <w:rtl w:val="0"/>
              </w:rPr>
              <w:t xml:space="preserve">LVH</w:t>
            </w:r>
          </w:p>
        </w:tc>
        <w:tc>
          <w:tcPr>
            <w:tcBorders>
              <w:bottom w:color="dde1eb" w:space="0" w:sz="4" w:val="single"/>
            </w:tcBorders>
          </w:tcPr>
          <w:p w:rsidR="00000000" w:rsidDel="00000000" w:rsidP="00000000" w:rsidRDefault="00000000" w:rsidRPr="00000000" w14:paraId="000000BB">
            <w:pPr>
              <w:rPr>
                <w:b w:val="1"/>
                <w:bCs w:val="1"/>
              </w:rPr>
            </w:pPr>
            <w:r w:rsidDel="00000000" w:rsidR="00000000" w:rsidRPr="00000000">
              <w:rPr>
                <w:b w:val="1"/>
                <w:bCs w:val="1"/>
                <w:rtl w:val="0"/>
              </w:rPr>
              <w:t xml:space="preserve">461</w:t>
            </w:r>
          </w:p>
        </w:tc>
        <w:tc>
          <w:tcPr>
            <w:tcBorders>
              <w:bottom w:color="dde1eb" w:space="0" w:sz="4" w:val="single"/>
            </w:tcBorders>
          </w:tcPr>
          <w:p w:rsidR="00000000" w:rsidDel="00000000" w:rsidP="00000000" w:rsidRDefault="00000000" w:rsidRPr="00000000" w14:paraId="000000BC">
            <w:pPr>
              <w:rPr>
                <w:b w:val="1"/>
                <w:bCs w:val="1"/>
              </w:rPr>
            </w:pPr>
            <w:r w:rsidDel="00000000" w:rsidR="00000000" w:rsidRPr="00000000">
              <w:rPr>
                <w:b w:val="1"/>
                <w:bCs w:val="1"/>
                <w:rtl w:val="0"/>
              </w:rPr>
              <w:t xml:space="preserve">30.3</w:t>
            </w:r>
          </w:p>
        </w:tc>
        <w:tc>
          <w:tcPr>
            <w:tcBorders>
              <w:bottom w:color="dde1eb" w:space="0" w:sz="4" w:val="single"/>
            </w:tcBorders>
          </w:tcPr>
          <w:p w:rsidR="00000000" w:rsidDel="00000000" w:rsidP="00000000" w:rsidRDefault="00000000" w:rsidRPr="00000000" w14:paraId="000000BD">
            <w:pPr>
              <w:rPr>
                <w:b w:val="1"/>
                <w:bCs w:val="1"/>
              </w:rPr>
            </w:pPr>
            <w:r w:rsidDel="00000000" w:rsidR="00000000" w:rsidRPr="00000000">
              <w:rPr>
                <w:b w:val="1"/>
                <w:bCs w:val="1"/>
                <w:rtl w:val="0"/>
              </w:rPr>
              <w:t xml:space="preserve">402 – 521</w:t>
            </w:r>
          </w:p>
        </w:tc>
      </w:tr>
      <w:tr>
        <w:trPr>
          <w:cantSplit w:val="0"/>
          <w:tblHeader w:val="0"/>
        </w:trPr>
        <w:tc>
          <w:tcPr>
            <w:tcBorders>
              <w:bottom w:color="dde1eb" w:space="0" w:sz="4" w:val="single"/>
            </w:tcBorders>
          </w:tcPr>
          <w:p w:rsidR="00000000" w:rsidDel="00000000" w:rsidP="00000000" w:rsidRDefault="00000000" w:rsidRPr="00000000" w14:paraId="000000BE">
            <w:pPr>
              <w:rPr>
                <w:b w:val="1"/>
                <w:bCs w:val="1"/>
              </w:rPr>
            </w:pPr>
            <w:r w:rsidDel="00000000" w:rsidR="00000000" w:rsidRPr="00000000">
              <w:rPr>
                <w:b w:val="1"/>
                <w:bCs w:val="1"/>
                <w:rtl w:val="0"/>
              </w:rPr>
              <w:t xml:space="preserve">ATA (Atypical Angina)</w:t>
            </w:r>
          </w:p>
        </w:tc>
        <w:tc>
          <w:tcPr>
            <w:tcBorders>
              <w:bottom w:color="dde1eb" w:space="0" w:sz="4" w:val="single"/>
            </w:tcBorders>
          </w:tcPr>
          <w:p w:rsidR="00000000" w:rsidDel="00000000" w:rsidP="00000000" w:rsidRDefault="00000000" w:rsidRPr="00000000" w14:paraId="000000BF">
            <w:pPr>
              <w:rPr>
                <w:b w:val="1"/>
                <w:bCs w:val="1"/>
              </w:rPr>
            </w:pPr>
            <w:r w:rsidDel="00000000" w:rsidR="00000000" w:rsidRPr="00000000">
              <w:rPr>
                <w:b w:val="1"/>
                <w:bCs w:val="1"/>
                <w:rtl w:val="0"/>
              </w:rPr>
              <w:t xml:space="preserve">LVH</w:t>
            </w:r>
          </w:p>
        </w:tc>
        <w:tc>
          <w:tcPr>
            <w:tcBorders>
              <w:bottom w:color="dde1eb" w:space="0" w:sz="4" w:val="single"/>
            </w:tcBorders>
          </w:tcPr>
          <w:p w:rsidR="00000000" w:rsidDel="00000000" w:rsidP="00000000" w:rsidRDefault="00000000" w:rsidRPr="00000000" w14:paraId="000000C0">
            <w:pPr>
              <w:rPr>
                <w:b w:val="1"/>
                <w:bCs w:val="1"/>
              </w:rPr>
            </w:pPr>
            <w:r w:rsidDel="00000000" w:rsidR="00000000" w:rsidRPr="00000000">
              <w:rPr>
                <w:b w:val="1"/>
                <w:bCs w:val="1"/>
                <w:rtl w:val="0"/>
              </w:rPr>
              <w:t xml:space="preserve">499</w:t>
            </w:r>
          </w:p>
        </w:tc>
        <w:tc>
          <w:tcPr>
            <w:tcBorders>
              <w:bottom w:color="dde1eb" w:space="0" w:sz="4" w:val="single"/>
            </w:tcBorders>
          </w:tcPr>
          <w:p w:rsidR="00000000" w:rsidDel="00000000" w:rsidP="00000000" w:rsidRDefault="00000000" w:rsidRPr="00000000" w14:paraId="000000C1">
            <w:pPr>
              <w:rPr>
                <w:b w:val="1"/>
                <w:bCs w:val="1"/>
              </w:rPr>
            </w:pPr>
            <w:r w:rsidDel="00000000" w:rsidR="00000000" w:rsidRPr="00000000">
              <w:rPr>
                <w:b w:val="1"/>
                <w:bCs w:val="1"/>
                <w:rtl w:val="0"/>
              </w:rPr>
              <w:t xml:space="preserve">59.8</w:t>
            </w:r>
          </w:p>
        </w:tc>
        <w:tc>
          <w:tcPr>
            <w:tcBorders>
              <w:bottom w:color="dde1eb" w:space="0" w:sz="4" w:val="single"/>
            </w:tcBorders>
          </w:tcPr>
          <w:p w:rsidR="00000000" w:rsidDel="00000000" w:rsidP="00000000" w:rsidRDefault="00000000" w:rsidRPr="00000000" w14:paraId="000000C2">
            <w:pPr>
              <w:rPr>
                <w:b w:val="1"/>
                <w:bCs w:val="1"/>
              </w:rPr>
            </w:pPr>
            <w:r w:rsidDel="00000000" w:rsidR="00000000" w:rsidRPr="00000000">
              <w:rPr>
                <w:b w:val="1"/>
                <w:bCs w:val="1"/>
                <w:rtl w:val="0"/>
              </w:rPr>
              <w:t xml:space="preserve">381 – 616</w:t>
            </w:r>
          </w:p>
        </w:tc>
      </w:tr>
      <w:tr>
        <w:trPr>
          <w:cantSplit w:val="0"/>
          <w:tblHeader w:val="0"/>
        </w:trPr>
        <w:tc>
          <w:tcPr>
            <w:tcBorders>
              <w:bottom w:color="dde1eb" w:space="0" w:sz="4" w:val="single"/>
            </w:tcBorders>
          </w:tcPr>
          <w:p w:rsidR="00000000" w:rsidDel="00000000" w:rsidP="00000000" w:rsidRDefault="00000000" w:rsidRPr="00000000" w14:paraId="000000C3">
            <w:pPr>
              <w:rPr>
                <w:b w:val="1"/>
                <w:bCs w:val="1"/>
              </w:rPr>
            </w:pPr>
            <w:r w:rsidDel="00000000" w:rsidR="00000000" w:rsidRPr="00000000">
              <w:rPr>
                <w:b w:val="1"/>
                <w:bCs w:val="1"/>
                <w:rtl w:val="0"/>
              </w:rPr>
              <w:t xml:space="preserve">NAP (Non-anginal Pain)</w:t>
            </w:r>
          </w:p>
        </w:tc>
        <w:tc>
          <w:tcPr>
            <w:tcBorders>
              <w:bottom w:color="dde1eb" w:space="0" w:sz="4" w:val="single"/>
            </w:tcBorders>
          </w:tcPr>
          <w:p w:rsidR="00000000" w:rsidDel="00000000" w:rsidP="00000000" w:rsidRDefault="00000000" w:rsidRPr="00000000" w14:paraId="000000C4">
            <w:pPr>
              <w:rPr>
                <w:b w:val="1"/>
                <w:bCs w:val="1"/>
              </w:rPr>
            </w:pPr>
            <w:r w:rsidDel="00000000" w:rsidR="00000000" w:rsidRPr="00000000">
              <w:rPr>
                <w:b w:val="1"/>
                <w:bCs w:val="1"/>
                <w:rtl w:val="0"/>
              </w:rPr>
              <w:t xml:space="preserve">LVH</w:t>
            </w:r>
          </w:p>
        </w:tc>
        <w:tc>
          <w:tcPr>
            <w:tcBorders>
              <w:bottom w:color="dde1eb" w:space="0" w:sz="4" w:val="single"/>
            </w:tcBorders>
          </w:tcPr>
          <w:p w:rsidR="00000000" w:rsidDel="00000000" w:rsidP="00000000" w:rsidRDefault="00000000" w:rsidRPr="00000000" w14:paraId="000000C5">
            <w:pPr>
              <w:rPr>
                <w:b w:val="1"/>
                <w:bCs w:val="1"/>
              </w:rPr>
            </w:pPr>
            <w:r w:rsidDel="00000000" w:rsidR="00000000" w:rsidRPr="00000000">
              <w:rPr>
                <w:b w:val="1"/>
                <w:bCs w:val="1"/>
                <w:rtl w:val="0"/>
              </w:rPr>
              <w:t xml:space="preserve">470</w:t>
            </w:r>
          </w:p>
        </w:tc>
        <w:tc>
          <w:tcPr>
            <w:tcBorders>
              <w:bottom w:color="dde1eb" w:space="0" w:sz="4" w:val="single"/>
            </w:tcBorders>
          </w:tcPr>
          <w:p w:rsidR="00000000" w:rsidDel="00000000" w:rsidP="00000000" w:rsidRDefault="00000000" w:rsidRPr="00000000" w14:paraId="000000C6">
            <w:pPr>
              <w:rPr>
                <w:b w:val="1"/>
                <w:bCs w:val="1"/>
              </w:rPr>
            </w:pPr>
            <w:r w:rsidDel="00000000" w:rsidR="00000000" w:rsidRPr="00000000">
              <w:rPr>
                <w:b w:val="1"/>
                <w:bCs w:val="1"/>
                <w:rtl w:val="0"/>
              </w:rPr>
              <w:t xml:space="preserve">44.0</w:t>
            </w:r>
          </w:p>
        </w:tc>
        <w:tc>
          <w:tcPr>
            <w:tcBorders>
              <w:bottom w:color="dde1eb" w:space="0" w:sz="4" w:val="single"/>
            </w:tcBorders>
          </w:tcPr>
          <w:p w:rsidR="00000000" w:rsidDel="00000000" w:rsidP="00000000" w:rsidRDefault="00000000" w:rsidRPr="00000000" w14:paraId="000000C7">
            <w:pPr>
              <w:rPr>
                <w:b w:val="1"/>
                <w:bCs w:val="1"/>
              </w:rPr>
            </w:pPr>
            <w:r w:rsidDel="00000000" w:rsidR="00000000" w:rsidRPr="00000000">
              <w:rPr>
                <w:b w:val="1"/>
                <w:bCs w:val="1"/>
                <w:rtl w:val="0"/>
              </w:rPr>
              <w:t xml:space="preserve">384 – 557</w:t>
            </w:r>
          </w:p>
        </w:tc>
      </w:tr>
      <w:tr>
        <w:trPr>
          <w:cantSplit w:val="0"/>
          <w:tblHeader w:val="0"/>
        </w:trPr>
        <w:tc>
          <w:tcPr>
            <w:tcBorders>
              <w:bottom w:color="dde1eb" w:space="0" w:sz="4" w:val="single"/>
            </w:tcBorders>
          </w:tcPr>
          <w:p w:rsidR="00000000" w:rsidDel="00000000" w:rsidP="00000000" w:rsidRDefault="00000000" w:rsidRPr="00000000" w14:paraId="000000C8">
            <w:pPr>
              <w:rPr>
                <w:b w:val="1"/>
                <w:bCs w:val="1"/>
              </w:rPr>
            </w:pPr>
            <w:r w:rsidDel="00000000" w:rsidR="00000000" w:rsidRPr="00000000">
              <w:rPr>
                <w:b w:val="1"/>
                <w:bCs w:val="1"/>
                <w:rtl w:val="0"/>
              </w:rPr>
              <w:t xml:space="preserve">TA (Typical Angina)</w:t>
            </w:r>
          </w:p>
        </w:tc>
        <w:tc>
          <w:tcPr>
            <w:tcBorders>
              <w:bottom w:color="dde1eb" w:space="0" w:sz="4" w:val="single"/>
            </w:tcBorders>
          </w:tcPr>
          <w:p w:rsidR="00000000" w:rsidDel="00000000" w:rsidP="00000000" w:rsidRDefault="00000000" w:rsidRPr="00000000" w14:paraId="000000C9">
            <w:pPr>
              <w:rPr>
                <w:b w:val="1"/>
                <w:bCs w:val="1"/>
              </w:rPr>
            </w:pPr>
            <w:r w:rsidDel="00000000" w:rsidR="00000000" w:rsidRPr="00000000">
              <w:rPr>
                <w:b w:val="1"/>
                <w:bCs w:val="1"/>
                <w:rtl w:val="0"/>
              </w:rPr>
              <w:t xml:space="preserve">LVH</w:t>
            </w:r>
          </w:p>
        </w:tc>
        <w:tc>
          <w:tcPr>
            <w:tcBorders>
              <w:bottom w:color="dde1eb" w:space="0" w:sz="4" w:val="single"/>
            </w:tcBorders>
          </w:tcPr>
          <w:p w:rsidR="00000000" w:rsidDel="00000000" w:rsidP="00000000" w:rsidRDefault="00000000" w:rsidRPr="00000000" w14:paraId="000000CA">
            <w:pPr>
              <w:rPr>
                <w:b w:val="1"/>
                <w:bCs w:val="1"/>
              </w:rPr>
            </w:pPr>
            <w:r w:rsidDel="00000000" w:rsidR="00000000" w:rsidRPr="00000000">
              <w:rPr>
                <w:b w:val="1"/>
                <w:bCs w:val="1"/>
                <w:rtl w:val="0"/>
              </w:rPr>
              <w:t xml:space="preserve">441</w:t>
            </w:r>
          </w:p>
        </w:tc>
        <w:tc>
          <w:tcPr>
            <w:tcBorders>
              <w:bottom w:color="dde1eb" w:space="0" w:sz="4" w:val="single"/>
            </w:tcBorders>
          </w:tcPr>
          <w:p w:rsidR="00000000" w:rsidDel="00000000" w:rsidP="00000000" w:rsidRDefault="00000000" w:rsidRPr="00000000" w14:paraId="000000CB">
            <w:pPr>
              <w:rPr>
                <w:b w:val="1"/>
                <w:bCs w:val="1"/>
              </w:rPr>
            </w:pPr>
            <w:r w:rsidDel="00000000" w:rsidR="00000000" w:rsidRPr="00000000">
              <w:rPr>
                <w:b w:val="1"/>
                <w:bCs w:val="1"/>
                <w:rtl w:val="0"/>
              </w:rPr>
              <w:t xml:space="preserve">80.6</w:t>
            </w:r>
          </w:p>
        </w:tc>
        <w:tc>
          <w:tcPr>
            <w:tcBorders>
              <w:bottom w:color="dde1eb" w:space="0" w:sz="4" w:val="single"/>
            </w:tcBorders>
          </w:tcPr>
          <w:p w:rsidR="00000000" w:rsidDel="00000000" w:rsidP="00000000" w:rsidRDefault="00000000" w:rsidRPr="00000000" w14:paraId="000000CC">
            <w:pPr>
              <w:rPr>
                <w:b w:val="1"/>
                <w:bCs w:val="1"/>
              </w:rPr>
            </w:pPr>
            <w:r w:rsidDel="00000000" w:rsidR="00000000" w:rsidRPr="00000000">
              <w:rPr>
                <w:b w:val="1"/>
                <w:bCs w:val="1"/>
                <w:rtl w:val="0"/>
              </w:rPr>
              <w:t xml:space="preserve">283 – 599</w:t>
            </w:r>
          </w:p>
        </w:tc>
      </w:tr>
      <w:tr>
        <w:trPr>
          <w:cantSplit w:val="0"/>
          <w:tblHeader w:val="0"/>
        </w:trPr>
        <w:tc>
          <w:tcPr>
            <w:tcBorders>
              <w:bottom w:color="dde1eb" w:space="0" w:sz="4" w:val="single"/>
            </w:tcBorders>
          </w:tcPr>
          <w:p w:rsidR="00000000" w:rsidDel="00000000" w:rsidP="00000000" w:rsidRDefault="00000000" w:rsidRPr="00000000" w14:paraId="000000CD">
            <w:pPr>
              <w:rPr>
                <w:b w:val="1"/>
                <w:bCs w:val="1"/>
              </w:rPr>
            </w:pPr>
            <w:r w:rsidDel="00000000" w:rsidR="00000000" w:rsidRPr="00000000">
              <w:rPr>
                <w:b w:val="1"/>
                <w:bCs w:val="1"/>
                <w:rtl w:val="0"/>
              </w:rPr>
              <w:t xml:space="preserve">ASY (Asymptomatic)</w:t>
            </w:r>
          </w:p>
        </w:tc>
        <w:tc>
          <w:tcPr>
            <w:tcBorders>
              <w:bottom w:color="dde1eb" w:space="0" w:sz="4" w:val="single"/>
            </w:tcBorders>
          </w:tcPr>
          <w:p w:rsidR="00000000" w:rsidDel="00000000" w:rsidP="00000000" w:rsidRDefault="00000000" w:rsidRPr="00000000" w14:paraId="000000CE">
            <w:pPr>
              <w:rPr>
                <w:b w:val="1"/>
                <w:bCs w:val="1"/>
              </w:rPr>
            </w:pPr>
            <w:r w:rsidDel="00000000" w:rsidR="00000000" w:rsidRPr="00000000">
              <w:rPr>
                <w:b w:val="1"/>
                <w:bCs w:val="1"/>
                <w:rtl w:val="0"/>
              </w:rPr>
              <w:t xml:space="preserve">Normal</w:t>
            </w:r>
          </w:p>
        </w:tc>
        <w:tc>
          <w:tcPr>
            <w:tcBorders>
              <w:bottom w:color="dde1eb" w:space="0" w:sz="4" w:val="single"/>
            </w:tcBorders>
          </w:tcPr>
          <w:p w:rsidR="00000000" w:rsidDel="00000000" w:rsidP="00000000" w:rsidRDefault="00000000" w:rsidRPr="00000000" w14:paraId="000000CF">
            <w:pPr>
              <w:rPr>
                <w:b w:val="1"/>
                <w:bCs w:val="1"/>
              </w:rPr>
            </w:pPr>
            <w:r w:rsidDel="00000000" w:rsidR="00000000" w:rsidRPr="00000000">
              <w:rPr>
                <w:b w:val="1"/>
                <w:bCs w:val="1"/>
                <w:rtl w:val="0"/>
              </w:rPr>
              <w:t xml:space="preserve">456</w:t>
            </w:r>
          </w:p>
        </w:tc>
        <w:tc>
          <w:tcPr>
            <w:tcBorders>
              <w:bottom w:color="dde1eb" w:space="0" w:sz="4" w:val="single"/>
            </w:tcBorders>
          </w:tcPr>
          <w:p w:rsidR="00000000" w:rsidDel="00000000" w:rsidP="00000000" w:rsidRDefault="00000000" w:rsidRPr="00000000" w14:paraId="000000D0">
            <w:pPr>
              <w:rPr>
                <w:b w:val="1"/>
                <w:bCs w:val="1"/>
              </w:rPr>
            </w:pPr>
            <w:r w:rsidDel="00000000" w:rsidR="00000000" w:rsidRPr="00000000">
              <w:rPr>
                <w:b w:val="1"/>
                <w:bCs w:val="1"/>
                <w:rtl w:val="0"/>
              </w:rPr>
              <w:t xml:space="preserve">18.5</w:t>
            </w:r>
          </w:p>
        </w:tc>
        <w:tc>
          <w:tcPr>
            <w:tcBorders>
              <w:bottom w:color="dde1eb" w:space="0" w:sz="4" w:val="single"/>
            </w:tcBorders>
          </w:tcPr>
          <w:p w:rsidR="00000000" w:rsidDel="00000000" w:rsidP="00000000" w:rsidRDefault="00000000" w:rsidRPr="00000000" w14:paraId="000000D1">
            <w:pPr>
              <w:rPr>
                <w:b w:val="1"/>
                <w:bCs w:val="1"/>
              </w:rPr>
            </w:pPr>
            <w:r w:rsidDel="00000000" w:rsidR="00000000" w:rsidRPr="00000000">
              <w:rPr>
                <w:b w:val="1"/>
                <w:bCs w:val="1"/>
                <w:rtl w:val="0"/>
              </w:rPr>
              <w:t xml:space="preserve">420 – 493</w:t>
            </w:r>
          </w:p>
        </w:tc>
      </w:tr>
      <w:tr>
        <w:trPr>
          <w:cantSplit w:val="0"/>
          <w:tblHeader w:val="0"/>
        </w:trPr>
        <w:tc>
          <w:tcPr>
            <w:tcBorders>
              <w:bottom w:color="dde1eb" w:space="0" w:sz="4" w:val="single"/>
            </w:tcBorders>
          </w:tcPr>
          <w:p w:rsidR="00000000" w:rsidDel="00000000" w:rsidP="00000000" w:rsidRDefault="00000000" w:rsidRPr="00000000" w14:paraId="000000D2">
            <w:pPr>
              <w:rPr>
                <w:b w:val="1"/>
                <w:bCs w:val="1"/>
              </w:rPr>
            </w:pPr>
            <w:r w:rsidDel="00000000" w:rsidR="00000000" w:rsidRPr="00000000">
              <w:rPr>
                <w:b w:val="1"/>
                <w:bCs w:val="1"/>
                <w:rtl w:val="0"/>
              </w:rPr>
              <w:t xml:space="preserve">ATA (Atypical Angina)</w:t>
            </w:r>
          </w:p>
        </w:tc>
        <w:tc>
          <w:tcPr>
            <w:tcBorders>
              <w:bottom w:color="dde1eb" w:space="0" w:sz="4" w:val="single"/>
            </w:tcBorders>
          </w:tcPr>
          <w:p w:rsidR="00000000" w:rsidDel="00000000" w:rsidP="00000000" w:rsidRDefault="00000000" w:rsidRPr="00000000" w14:paraId="000000D3">
            <w:pPr>
              <w:rPr>
                <w:b w:val="1"/>
                <w:bCs w:val="1"/>
              </w:rPr>
            </w:pPr>
            <w:r w:rsidDel="00000000" w:rsidR="00000000" w:rsidRPr="00000000">
              <w:rPr>
                <w:b w:val="1"/>
                <w:bCs w:val="1"/>
                <w:rtl w:val="0"/>
              </w:rPr>
              <w:t xml:space="preserve">Normal</w:t>
            </w:r>
          </w:p>
        </w:tc>
        <w:tc>
          <w:tcPr>
            <w:tcBorders>
              <w:bottom w:color="dde1eb" w:space="0" w:sz="4" w:val="single"/>
            </w:tcBorders>
          </w:tcPr>
          <w:p w:rsidR="00000000" w:rsidDel="00000000" w:rsidP="00000000" w:rsidRDefault="00000000" w:rsidRPr="00000000" w14:paraId="000000D4">
            <w:pPr>
              <w:rPr>
                <w:b w:val="1"/>
                <w:bCs w:val="1"/>
              </w:rPr>
            </w:pPr>
            <w:r w:rsidDel="00000000" w:rsidR="00000000" w:rsidRPr="00000000">
              <w:rPr>
                <w:b w:val="1"/>
                <w:bCs w:val="1"/>
                <w:rtl w:val="0"/>
              </w:rPr>
              <w:t xml:space="preserve">467</w:t>
            </w:r>
          </w:p>
        </w:tc>
        <w:tc>
          <w:tcPr>
            <w:tcBorders>
              <w:bottom w:color="dde1eb" w:space="0" w:sz="4" w:val="single"/>
            </w:tcBorders>
          </w:tcPr>
          <w:p w:rsidR="00000000" w:rsidDel="00000000" w:rsidP="00000000" w:rsidRDefault="00000000" w:rsidRPr="00000000" w14:paraId="000000D5">
            <w:pPr>
              <w:rPr>
                <w:b w:val="1"/>
                <w:bCs w:val="1"/>
              </w:rPr>
            </w:pPr>
            <w:r w:rsidDel="00000000" w:rsidR="00000000" w:rsidRPr="00000000">
              <w:rPr>
                <w:b w:val="1"/>
                <w:bCs w:val="1"/>
                <w:rtl w:val="0"/>
              </w:rPr>
              <w:t xml:space="preserve">25.2</w:t>
            </w:r>
          </w:p>
        </w:tc>
        <w:tc>
          <w:tcPr>
            <w:tcBorders>
              <w:bottom w:color="dde1eb" w:space="0" w:sz="4" w:val="single"/>
            </w:tcBorders>
          </w:tcPr>
          <w:p w:rsidR="00000000" w:rsidDel="00000000" w:rsidP="00000000" w:rsidRDefault="00000000" w:rsidRPr="00000000" w14:paraId="000000D6">
            <w:pPr>
              <w:rPr>
                <w:b w:val="1"/>
                <w:bCs w:val="1"/>
              </w:rPr>
            </w:pPr>
            <w:r w:rsidDel="00000000" w:rsidR="00000000" w:rsidRPr="00000000">
              <w:rPr>
                <w:b w:val="1"/>
                <w:bCs w:val="1"/>
                <w:rtl w:val="0"/>
              </w:rPr>
              <w:t xml:space="preserve">418 – 517</w:t>
            </w:r>
          </w:p>
        </w:tc>
      </w:tr>
      <w:tr>
        <w:trPr>
          <w:cantSplit w:val="0"/>
          <w:tblHeader w:val="0"/>
        </w:trPr>
        <w:tc>
          <w:tcPr>
            <w:tcBorders>
              <w:bottom w:color="dde1eb" w:space="0" w:sz="4" w:val="single"/>
            </w:tcBorders>
          </w:tcPr>
          <w:p w:rsidR="00000000" w:rsidDel="00000000" w:rsidP="00000000" w:rsidRDefault="00000000" w:rsidRPr="00000000" w14:paraId="000000D7">
            <w:pPr>
              <w:rPr>
                <w:b w:val="1"/>
                <w:bCs w:val="1"/>
              </w:rPr>
            </w:pPr>
            <w:r w:rsidDel="00000000" w:rsidR="00000000" w:rsidRPr="00000000">
              <w:rPr>
                <w:b w:val="1"/>
                <w:bCs w:val="1"/>
                <w:rtl w:val="0"/>
              </w:rPr>
              <w:t xml:space="preserve">NAP (Non-anginal Pain)</w:t>
            </w:r>
          </w:p>
        </w:tc>
        <w:tc>
          <w:tcPr>
            <w:tcBorders>
              <w:bottom w:color="dde1eb" w:space="0" w:sz="4" w:val="single"/>
            </w:tcBorders>
          </w:tcPr>
          <w:p w:rsidR="00000000" w:rsidDel="00000000" w:rsidP="00000000" w:rsidRDefault="00000000" w:rsidRPr="00000000" w14:paraId="000000D8">
            <w:pPr>
              <w:rPr>
                <w:b w:val="1"/>
                <w:bCs w:val="1"/>
              </w:rPr>
            </w:pPr>
            <w:r w:rsidDel="00000000" w:rsidR="00000000" w:rsidRPr="00000000">
              <w:rPr>
                <w:b w:val="1"/>
                <w:bCs w:val="1"/>
                <w:rtl w:val="0"/>
              </w:rPr>
              <w:t xml:space="preserve">Normal</w:t>
            </w:r>
          </w:p>
        </w:tc>
        <w:tc>
          <w:tcPr>
            <w:tcBorders>
              <w:bottom w:color="dde1eb" w:space="0" w:sz="4" w:val="single"/>
            </w:tcBorders>
          </w:tcPr>
          <w:p w:rsidR="00000000" w:rsidDel="00000000" w:rsidP="00000000" w:rsidRDefault="00000000" w:rsidRPr="00000000" w14:paraId="000000D9">
            <w:pPr>
              <w:rPr>
                <w:b w:val="1"/>
                <w:bCs w:val="1"/>
              </w:rPr>
            </w:pPr>
            <w:r w:rsidDel="00000000" w:rsidR="00000000" w:rsidRPr="00000000">
              <w:rPr>
                <w:b w:val="1"/>
                <w:bCs w:val="1"/>
                <w:rtl w:val="0"/>
              </w:rPr>
              <w:t xml:space="preserve">464</w:t>
            </w:r>
          </w:p>
        </w:tc>
        <w:tc>
          <w:tcPr>
            <w:tcBorders>
              <w:bottom w:color="dde1eb" w:space="0" w:sz="4" w:val="single"/>
            </w:tcBorders>
          </w:tcPr>
          <w:p w:rsidR="00000000" w:rsidDel="00000000" w:rsidP="00000000" w:rsidRDefault="00000000" w:rsidRPr="00000000" w14:paraId="000000DA">
            <w:pPr>
              <w:rPr>
                <w:b w:val="1"/>
                <w:bCs w:val="1"/>
              </w:rPr>
            </w:pPr>
            <w:r w:rsidDel="00000000" w:rsidR="00000000" w:rsidRPr="00000000">
              <w:rPr>
                <w:b w:val="1"/>
                <w:bCs w:val="1"/>
                <w:rtl w:val="0"/>
              </w:rPr>
              <w:t xml:space="preserve">26.4</w:t>
            </w:r>
          </w:p>
        </w:tc>
        <w:tc>
          <w:tcPr>
            <w:tcBorders>
              <w:bottom w:color="dde1eb" w:space="0" w:sz="4" w:val="single"/>
            </w:tcBorders>
          </w:tcPr>
          <w:p w:rsidR="00000000" w:rsidDel="00000000" w:rsidP="00000000" w:rsidRDefault="00000000" w:rsidRPr="00000000" w14:paraId="000000DB">
            <w:pPr>
              <w:rPr>
                <w:b w:val="1"/>
                <w:bCs w:val="1"/>
              </w:rPr>
            </w:pPr>
            <w:r w:rsidDel="00000000" w:rsidR="00000000" w:rsidRPr="00000000">
              <w:rPr>
                <w:b w:val="1"/>
                <w:bCs w:val="1"/>
                <w:rtl w:val="0"/>
              </w:rPr>
              <w:t xml:space="preserve">413 – 516</w:t>
            </w:r>
          </w:p>
        </w:tc>
      </w:tr>
      <w:tr>
        <w:trPr>
          <w:cantSplit w:val="0"/>
          <w:tblHeader w:val="0"/>
        </w:trPr>
        <w:tc>
          <w:tcPr>
            <w:tcBorders>
              <w:bottom w:color="dde1eb" w:space="0" w:sz="4" w:val="single"/>
            </w:tcBorders>
          </w:tcPr>
          <w:p w:rsidR="00000000" w:rsidDel="00000000" w:rsidP="00000000" w:rsidRDefault="00000000" w:rsidRPr="00000000" w14:paraId="000000DC">
            <w:pPr>
              <w:rPr>
                <w:b w:val="1"/>
                <w:bCs w:val="1"/>
              </w:rPr>
            </w:pPr>
            <w:r w:rsidDel="00000000" w:rsidR="00000000" w:rsidRPr="00000000">
              <w:rPr>
                <w:b w:val="1"/>
                <w:bCs w:val="1"/>
                <w:rtl w:val="0"/>
              </w:rPr>
              <w:t xml:space="preserve">TA (Typical Angina)</w:t>
            </w:r>
          </w:p>
        </w:tc>
        <w:tc>
          <w:tcPr>
            <w:tcBorders>
              <w:bottom w:color="dde1eb" w:space="0" w:sz="4" w:val="single"/>
            </w:tcBorders>
          </w:tcPr>
          <w:p w:rsidR="00000000" w:rsidDel="00000000" w:rsidP="00000000" w:rsidRDefault="00000000" w:rsidRPr="00000000" w14:paraId="000000DD">
            <w:pPr>
              <w:rPr>
                <w:b w:val="1"/>
                <w:bCs w:val="1"/>
              </w:rPr>
            </w:pPr>
            <w:r w:rsidDel="00000000" w:rsidR="00000000" w:rsidRPr="00000000">
              <w:rPr>
                <w:b w:val="1"/>
                <w:bCs w:val="1"/>
                <w:rtl w:val="0"/>
              </w:rPr>
              <w:t xml:space="preserve">Normal</w:t>
            </w:r>
          </w:p>
        </w:tc>
        <w:tc>
          <w:tcPr>
            <w:tcBorders>
              <w:bottom w:color="dde1eb" w:space="0" w:sz="4" w:val="single"/>
            </w:tcBorders>
          </w:tcPr>
          <w:p w:rsidR="00000000" w:rsidDel="00000000" w:rsidP="00000000" w:rsidRDefault="00000000" w:rsidRPr="00000000" w14:paraId="000000DE">
            <w:pPr>
              <w:rPr>
                <w:b w:val="1"/>
                <w:bCs w:val="1"/>
              </w:rPr>
            </w:pPr>
            <w:r w:rsidDel="00000000" w:rsidR="00000000" w:rsidRPr="00000000">
              <w:rPr>
                <w:b w:val="1"/>
                <w:bCs w:val="1"/>
                <w:rtl w:val="0"/>
              </w:rPr>
              <w:t xml:space="preserve">442</w:t>
            </w:r>
          </w:p>
        </w:tc>
        <w:tc>
          <w:tcPr>
            <w:tcBorders>
              <w:bottom w:color="dde1eb" w:space="0" w:sz="4" w:val="single"/>
            </w:tcBorders>
          </w:tcPr>
          <w:p w:rsidR="00000000" w:rsidDel="00000000" w:rsidP="00000000" w:rsidRDefault="00000000" w:rsidRPr="00000000" w14:paraId="000000DF">
            <w:pPr>
              <w:rPr>
                <w:b w:val="1"/>
                <w:bCs w:val="1"/>
              </w:rPr>
            </w:pPr>
            <w:r w:rsidDel="00000000" w:rsidR="00000000" w:rsidRPr="00000000">
              <w:rPr>
                <w:b w:val="1"/>
                <w:bCs w:val="1"/>
                <w:rtl w:val="0"/>
              </w:rPr>
              <w:t xml:space="preserve">66.9</w:t>
            </w:r>
          </w:p>
        </w:tc>
        <w:tc>
          <w:tcPr>
            <w:tcBorders>
              <w:bottom w:color="dde1eb" w:space="0" w:sz="4" w:val="single"/>
            </w:tcBorders>
          </w:tcPr>
          <w:p w:rsidR="00000000" w:rsidDel="00000000" w:rsidP="00000000" w:rsidRDefault="00000000" w:rsidRPr="00000000" w14:paraId="000000E0">
            <w:pPr>
              <w:rPr>
                <w:b w:val="1"/>
                <w:bCs w:val="1"/>
              </w:rPr>
            </w:pPr>
            <w:r w:rsidDel="00000000" w:rsidR="00000000" w:rsidRPr="00000000">
              <w:rPr>
                <w:b w:val="1"/>
                <w:bCs w:val="1"/>
                <w:rtl w:val="0"/>
              </w:rPr>
              <w:t xml:space="preserve">310 – 573</w:t>
            </w:r>
          </w:p>
        </w:tc>
      </w:tr>
      <w:tr>
        <w:trPr>
          <w:cantSplit w:val="0"/>
          <w:tblHeader w:val="0"/>
        </w:trPr>
        <w:tc>
          <w:tcPr>
            <w:tcBorders>
              <w:bottom w:color="dde1eb" w:space="0" w:sz="4" w:val="single"/>
            </w:tcBorders>
          </w:tcPr>
          <w:p w:rsidR="00000000" w:rsidDel="00000000" w:rsidP="00000000" w:rsidRDefault="00000000" w:rsidRPr="00000000" w14:paraId="000000E1">
            <w:pPr>
              <w:rPr>
                <w:b w:val="1"/>
                <w:bCs w:val="1"/>
              </w:rPr>
            </w:pPr>
            <w:r w:rsidDel="00000000" w:rsidR="00000000" w:rsidRPr="00000000">
              <w:rPr>
                <w:b w:val="1"/>
                <w:bCs w:val="1"/>
                <w:rtl w:val="0"/>
              </w:rPr>
              <w:t xml:space="preserve">ASY (Asymptomatic)</w:t>
            </w:r>
          </w:p>
        </w:tc>
        <w:tc>
          <w:tcPr>
            <w:tcBorders>
              <w:bottom w:color="dde1eb" w:space="0" w:sz="4" w:val="single"/>
            </w:tcBorders>
          </w:tcPr>
          <w:p w:rsidR="00000000" w:rsidDel="00000000" w:rsidP="00000000" w:rsidRDefault="00000000" w:rsidRPr="00000000" w14:paraId="000000E2">
            <w:pPr>
              <w:rPr>
                <w:b w:val="1"/>
                <w:bCs w:val="1"/>
              </w:rPr>
            </w:pPr>
            <w:r w:rsidDel="00000000" w:rsidR="00000000" w:rsidRPr="00000000">
              <w:rPr>
                <w:b w:val="1"/>
                <w:bCs w:val="1"/>
                <w:rtl w:val="0"/>
              </w:rPr>
              <w:t xml:space="preserve">ST</w:t>
            </w:r>
          </w:p>
        </w:tc>
        <w:tc>
          <w:tcPr>
            <w:tcBorders>
              <w:bottom w:color="dde1eb" w:space="0" w:sz="4" w:val="single"/>
            </w:tcBorders>
          </w:tcPr>
          <w:p w:rsidR="00000000" w:rsidDel="00000000" w:rsidP="00000000" w:rsidRDefault="00000000" w:rsidRPr="00000000" w14:paraId="000000E3">
            <w:pPr>
              <w:rPr>
                <w:b w:val="1"/>
                <w:bCs w:val="1"/>
              </w:rPr>
            </w:pPr>
            <w:r w:rsidDel="00000000" w:rsidR="00000000" w:rsidRPr="00000000">
              <w:rPr>
                <w:b w:val="1"/>
                <w:bCs w:val="1"/>
                <w:rtl w:val="0"/>
              </w:rPr>
              <w:t xml:space="preserve">435</w:t>
            </w:r>
          </w:p>
        </w:tc>
        <w:tc>
          <w:tcPr>
            <w:tcBorders>
              <w:bottom w:color="dde1eb" w:space="0" w:sz="4" w:val="single"/>
            </w:tcBorders>
          </w:tcPr>
          <w:p w:rsidR="00000000" w:rsidDel="00000000" w:rsidP="00000000" w:rsidRDefault="00000000" w:rsidRPr="00000000" w14:paraId="000000E4">
            <w:pPr>
              <w:rPr>
                <w:b w:val="1"/>
                <w:bCs w:val="1"/>
              </w:rPr>
            </w:pPr>
            <w:r w:rsidDel="00000000" w:rsidR="00000000" w:rsidRPr="00000000">
              <w:rPr>
                <w:b w:val="1"/>
                <w:bCs w:val="1"/>
                <w:rtl w:val="0"/>
              </w:rPr>
              <w:t xml:space="preserve">32.4</w:t>
            </w:r>
          </w:p>
        </w:tc>
        <w:tc>
          <w:tcPr>
            <w:tcBorders>
              <w:bottom w:color="dde1eb" w:space="0" w:sz="4" w:val="single"/>
            </w:tcBorders>
          </w:tcPr>
          <w:p w:rsidR="00000000" w:rsidDel="00000000" w:rsidP="00000000" w:rsidRDefault="00000000" w:rsidRPr="00000000" w14:paraId="000000E5">
            <w:pPr>
              <w:rPr>
                <w:b w:val="1"/>
                <w:bCs w:val="1"/>
              </w:rPr>
            </w:pPr>
            <w:r w:rsidDel="00000000" w:rsidR="00000000" w:rsidRPr="00000000">
              <w:rPr>
                <w:b w:val="1"/>
                <w:bCs w:val="1"/>
                <w:rtl w:val="0"/>
              </w:rPr>
              <w:t xml:space="preserve">371 – 498</w:t>
            </w:r>
          </w:p>
        </w:tc>
      </w:tr>
      <w:tr>
        <w:trPr>
          <w:cantSplit w:val="0"/>
          <w:tblHeader w:val="0"/>
        </w:trPr>
        <w:tc>
          <w:tcPr>
            <w:tcBorders>
              <w:bottom w:color="dde1eb" w:space="0" w:sz="4" w:val="single"/>
            </w:tcBorders>
          </w:tcPr>
          <w:p w:rsidR="00000000" w:rsidDel="00000000" w:rsidP="00000000" w:rsidRDefault="00000000" w:rsidRPr="00000000" w14:paraId="000000E6">
            <w:pPr>
              <w:rPr>
                <w:b w:val="1"/>
                <w:bCs w:val="1"/>
              </w:rPr>
            </w:pPr>
            <w:r w:rsidDel="00000000" w:rsidR="00000000" w:rsidRPr="00000000">
              <w:rPr>
                <w:b w:val="1"/>
                <w:bCs w:val="1"/>
                <w:rtl w:val="0"/>
              </w:rPr>
              <w:t xml:space="preserve">ATA (Atypical Angina)</w:t>
            </w:r>
          </w:p>
        </w:tc>
        <w:tc>
          <w:tcPr>
            <w:tcBorders>
              <w:bottom w:color="dde1eb" w:space="0" w:sz="4" w:val="single"/>
            </w:tcBorders>
          </w:tcPr>
          <w:p w:rsidR="00000000" w:rsidDel="00000000" w:rsidP="00000000" w:rsidRDefault="00000000" w:rsidRPr="00000000" w14:paraId="000000E7">
            <w:pPr>
              <w:rPr>
                <w:b w:val="1"/>
                <w:bCs w:val="1"/>
              </w:rPr>
            </w:pPr>
            <w:r w:rsidDel="00000000" w:rsidR="00000000" w:rsidRPr="00000000">
              <w:rPr>
                <w:b w:val="1"/>
                <w:bCs w:val="1"/>
                <w:rtl w:val="0"/>
              </w:rPr>
              <w:t xml:space="preserve">ST</w:t>
            </w:r>
          </w:p>
        </w:tc>
        <w:tc>
          <w:tcPr>
            <w:tcBorders>
              <w:bottom w:color="dde1eb" w:space="0" w:sz="4" w:val="single"/>
            </w:tcBorders>
          </w:tcPr>
          <w:p w:rsidR="00000000" w:rsidDel="00000000" w:rsidP="00000000" w:rsidRDefault="00000000" w:rsidRPr="00000000" w14:paraId="000000E8">
            <w:pPr>
              <w:rPr>
                <w:b w:val="1"/>
                <w:bCs w:val="1"/>
              </w:rPr>
            </w:pPr>
            <w:r w:rsidDel="00000000" w:rsidR="00000000" w:rsidRPr="00000000">
              <w:rPr>
                <w:b w:val="1"/>
                <w:bCs w:val="1"/>
                <w:rtl w:val="0"/>
              </w:rPr>
              <w:t xml:space="preserve">460</w:t>
            </w:r>
          </w:p>
        </w:tc>
        <w:tc>
          <w:tcPr>
            <w:tcBorders>
              <w:bottom w:color="dde1eb" w:space="0" w:sz="4" w:val="single"/>
            </w:tcBorders>
          </w:tcPr>
          <w:p w:rsidR="00000000" w:rsidDel="00000000" w:rsidP="00000000" w:rsidRDefault="00000000" w:rsidRPr="00000000" w14:paraId="000000E9">
            <w:pPr>
              <w:rPr>
                <w:b w:val="1"/>
                <w:bCs w:val="1"/>
              </w:rPr>
            </w:pPr>
            <w:r w:rsidDel="00000000" w:rsidR="00000000" w:rsidRPr="00000000">
              <w:rPr>
                <w:b w:val="1"/>
                <w:bCs w:val="1"/>
                <w:rtl w:val="0"/>
              </w:rPr>
              <w:t xml:space="preserve">58.4</w:t>
            </w:r>
          </w:p>
        </w:tc>
        <w:tc>
          <w:tcPr>
            <w:tcBorders>
              <w:bottom w:color="dde1eb" w:space="0" w:sz="4" w:val="single"/>
            </w:tcBorders>
          </w:tcPr>
          <w:p w:rsidR="00000000" w:rsidDel="00000000" w:rsidP="00000000" w:rsidRDefault="00000000" w:rsidRPr="00000000" w14:paraId="000000EA">
            <w:pPr>
              <w:rPr>
                <w:b w:val="1"/>
                <w:bCs w:val="1"/>
              </w:rPr>
            </w:pPr>
            <w:r w:rsidDel="00000000" w:rsidR="00000000" w:rsidRPr="00000000">
              <w:rPr>
                <w:b w:val="1"/>
                <w:bCs w:val="1"/>
                <w:rtl w:val="0"/>
              </w:rPr>
              <w:t xml:space="preserve">345 – 574</w:t>
            </w:r>
          </w:p>
        </w:tc>
      </w:tr>
      <w:tr>
        <w:trPr>
          <w:cantSplit w:val="0"/>
          <w:tblHeader w:val="0"/>
        </w:trPr>
        <w:tc>
          <w:tcPr>
            <w:tcBorders>
              <w:bottom w:color="dde1eb" w:space="0" w:sz="4" w:val="single"/>
            </w:tcBorders>
          </w:tcPr>
          <w:p w:rsidR="00000000" w:rsidDel="00000000" w:rsidP="00000000" w:rsidRDefault="00000000" w:rsidRPr="00000000" w14:paraId="000000EB">
            <w:pPr>
              <w:rPr>
                <w:b w:val="1"/>
                <w:bCs w:val="1"/>
              </w:rPr>
            </w:pPr>
            <w:r w:rsidDel="00000000" w:rsidR="00000000" w:rsidRPr="00000000">
              <w:rPr>
                <w:b w:val="1"/>
                <w:bCs w:val="1"/>
                <w:rtl w:val="0"/>
              </w:rPr>
              <w:t xml:space="preserve">NAP (Non-anginal Pain)</w:t>
            </w:r>
          </w:p>
        </w:tc>
        <w:tc>
          <w:tcPr>
            <w:tcBorders>
              <w:bottom w:color="dde1eb" w:space="0" w:sz="4" w:val="single"/>
            </w:tcBorders>
          </w:tcPr>
          <w:p w:rsidR="00000000" w:rsidDel="00000000" w:rsidP="00000000" w:rsidRDefault="00000000" w:rsidRPr="00000000" w14:paraId="000000EC">
            <w:pPr>
              <w:rPr>
                <w:b w:val="1"/>
                <w:bCs w:val="1"/>
              </w:rPr>
            </w:pPr>
            <w:r w:rsidDel="00000000" w:rsidR="00000000" w:rsidRPr="00000000">
              <w:rPr>
                <w:b w:val="1"/>
                <w:bCs w:val="1"/>
                <w:rtl w:val="0"/>
              </w:rPr>
              <w:t xml:space="preserve">ST</w:t>
            </w:r>
          </w:p>
        </w:tc>
        <w:tc>
          <w:tcPr>
            <w:tcBorders>
              <w:bottom w:color="dde1eb" w:space="0" w:sz="4" w:val="single"/>
            </w:tcBorders>
          </w:tcPr>
          <w:p w:rsidR="00000000" w:rsidDel="00000000" w:rsidP="00000000" w:rsidRDefault="00000000" w:rsidRPr="00000000" w14:paraId="000000ED">
            <w:pPr>
              <w:rPr>
                <w:b w:val="1"/>
                <w:bCs w:val="1"/>
              </w:rPr>
            </w:pPr>
            <w:r w:rsidDel="00000000" w:rsidR="00000000" w:rsidRPr="00000000">
              <w:rPr>
                <w:b w:val="1"/>
                <w:bCs w:val="1"/>
                <w:rtl w:val="0"/>
              </w:rPr>
              <w:t xml:space="preserve">465</w:t>
            </w:r>
          </w:p>
        </w:tc>
        <w:tc>
          <w:tcPr>
            <w:tcBorders>
              <w:bottom w:color="dde1eb" w:space="0" w:sz="4" w:val="single"/>
            </w:tcBorders>
          </w:tcPr>
          <w:p w:rsidR="00000000" w:rsidDel="00000000" w:rsidP="00000000" w:rsidRDefault="00000000" w:rsidRPr="00000000" w14:paraId="000000EE">
            <w:pPr>
              <w:rPr>
                <w:b w:val="1"/>
                <w:bCs w:val="1"/>
              </w:rPr>
            </w:pPr>
            <w:r w:rsidDel="00000000" w:rsidR="00000000" w:rsidRPr="00000000">
              <w:rPr>
                <w:b w:val="1"/>
                <w:bCs w:val="1"/>
                <w:rtl w:val="0"/>
              </w:rPr>
              <w:t xml:space="preserve">57.0</w:t>
            </w:r>
          </w:p>
        </w:tc>
        <w:tc>
          <w:tcPr>
            <w:tcBorders>
              <w:bottom w:color="dde1eb" w:space="0" w:sz="4" w:val="single"/>
            </w:tcBorders>
          </w:tcPr>
          <w:p w:rsidR="00000000" w:rsidDel="00000000" w:rsidP="00000000" w:rsidRDefault="00000000" w:rsidRPr="00000000" w14:paraId="000000EF">
            <w:pPr>
              <w:rPr>
                <w:b w:val="1"/>
                <w:bCs w:val="1"/>
              </w:rPr>
            </w:pPr>
            <w:r w:rsidDel="00000000" w:rsidR="00000000" w:rsidRPr="00000000">
              <w:rPr>
                <w:b w:val="1"/>
                <w:bCs w:val="1"/>
                <w:rtl w:val="0"/>
              </w:rPr>
              <w:t xml:space="preserve">353 – 577</w:t>
            </w:r>
          </w:p>
        </w:tc>
      </w:tr>
      <w:tr>
        <w:trPr>
          <w:cantSplit w:val="0"/>
          <w:tblHeader w:val="0"/>
        </w:trPr>
        <w:tc>
          <w:tcPr>
            <w:tcBorders>
              <w:bottom w:color="dde1eb" w:space="0" w:sz="4" w:val="single"/>
            </w:tcBorders>
          </w:tcPr>
          <w:p w:rsidR="00000000" w:rsidDel="00000000" w:rsidP="00000000" w:rsidRDefault="00000000" w:rsidRPr="00000000" w14:paraId="000000F0">
            <w:pPr>
              <w:rPr>
                <w:b w:val="1"/>
                <w:bCs w:val="1"/>
              </w:rPr>
            </w:pPr>
            <w:r w:rsidDel="00000000" w:rsidR="00000000" w:rsidRPr="00000000">
              <w:rPr>
                <w:b w:val="1"/>
                <w:bCs w:val="1"/>
                <w:rtl w:val="0"/>
              </w:rPr>
              <w:t xml:space="preserve">TA (Typical Angina)</w:t>
            </w:r>
          </w:p>
        </w:tc>
        <w:tc>
          <w:tcPr>
            <w:tcBorders>
              <w:bottom w:color="dde1eb" w:space="0" w:sz="4" w:val="single"/>
            </w:tcBorders>
          </w:tcPr>
          <w:p w:rsidR="00000000" w:rsidDel="00000000" w:rsidP="00000000" w:rsidRDefault="00000000" w:rsidRPr="00000000" w14:paraId="000000F1">
            <w:pPr>
              <w:rPr>
                <w:b w:val="1"/>
                <w:bCs w:val="1"/>
              </w:rPr>
            </w:pPr>
            <w:r w:rsidDel="00000000" w:rsidR="00000000" w:rsidRPr="00000000">
              <w:rPr>
                <w:b w:val="1"/>
                <w:bCs w:val="1"/>
                <w:rtl w:val="0"/>
              </w:rPr>
              <w:t xml:space="preserve">ST</w:t>
            </w:r>
          </w:p>
        </w:tc>
        <w:tc>
          <w:tcPr>
            <w:tcBorders>
              <w:bottom w:color="dde1eb" w:space="0" w:sz="4" w:val="single"/>
            </w:tcBorders>
          </w:tcPr>
          <w:p w:rsidR="00000000" w:rsidDel="00000000" w:rsidP="00000000" w:rsidRDefault="00000000" w:rsidRPr="00000000" w14:paraId="000000F2">
            <w:pPr>
              <w:rPr>
                <w:b w:val="1"/>
                <w:bCs w:val="1"/>
              </w:rPr>
            </w:pPr>
            <w:r w:rsidDel="00000000" w:rsidR="00000000" w:rsidRPr="00000000">
              <w:rPr>
                <w:b w:val="1"/>
                <w:bCs w:val="1"/>
                <w:rtl w:val="0"/>
              </w:rPr>
              <w:t xml:space="preserve">545</w:t>
            </w:r>
          </w:p>
        </w:tc>
        <w:tc>
          <w:tcPr>
            <w:tcBorders>
              <w:bottom w:color="dde1eb" w:space="0" w:sz="4" w:val="single"/>
            </w:tcBorders>
          </w:tcPr>
          <w:p w:rsidR="00000000" w:rsidDel="00000000" w:rsidP="00000000" w:rsidRDefault="00000000" w:rsidRPr="00000000" w14:paraId="000000F3">
            <w:pPr>
              <w:rPr>
                <w:b w:val="1"/>
                <w:bCs w:val="1"/>
              </w:rPr>
            </w:pPr>
            <w:r w:rsidDel="00000000" w:rsidR="00000000" w:rsidRPr="00000000">
              <w:rPr>
                <w:b w:val="1"/>
                <w:bCs w:val="1"/>
                <w:rtl w:val="0"/>
              </w:rPr>
              <w:t xml:space="preserve">109.0</w:t>
            </w:r>
          </w:p>
        </w:tc>
        <w:tc>
          <w:tcPr>
            <w:tcBorders>
              <w:bottom w:color="dde1eb" w:space="0" w:sz="4" w:val="single"/>
            </w:tcBorders>
          </w:tcPr>
          <w:p w:rsidR="00000000" w:rsidDel="00000000" w:rsidP="00000000" w:rsidRDefault="00000000" w:rsidRPr="00000000" w14:paraId="000000F4">
            <w:pPr>
              <w:rPr>
                <w:b w:val="1"/>
                <w:bCs w:val="1"/>
              </w:rPr>
            </w:pPr>
            <w:r w:rsidDel="00000000" w:rsidR="00000000" w:rsidRPr="00000000">
              <w:rPr>
                <w:b w:val="1"/>
                <w:bCs w:val="1"/>
                <w:rtl w:val="0"/>
              </w:rPr>
              <w:t xml:space="preserve">331 – 760</w:t>
            </w:r>
          </w:p>
        </w:tc>
      </w:tr>
    </w:tbl>
    <w:p w:rsidR="00000000" w:rsidDel="00000000" w:rsidP="00000000" w:rsidRDefault="00000000" w:rsidRPr="00000000" w14:paraId="000000F5">
      <w:pPr>
        <w:rPr>
          <w:b w:val="1"/>
          <w:bCs w:val="1"/>
        </w:rPr>
      </w:pPr>
      <w:r w:rsidDel="00000000" w:rsidR="00000000" w:rsidRPr="00000000">
        <w:rPr>
          <w:b w:val="1"/>
          <w:bCs w:val="1"/>
          <w:rtl w:val="0"/>
        </w:rPr>
        <w:t xml:space="preserve">[Source: 9]</w:t>
      </w:r>
    </w:p>
    <w:p w:rsidR="00000000" w:rsidDel="00000000" w:rsidP="00000000" w:rsidRDefault="00000000" w:rsidRPr="00000000" w14:paraId="000000F6">
      <w:pPr>
        <w:rPr>
          <w:b w:val="1"/>
          <w:bCs w:val="1"/>
        </w:rPr>
      </w:pPr>
      <w:r w:rsidDel="00000000" w:rsidR="00000000" w:rsidRPr="00000000">
        <w:rPr>
          <w:b w:val="1"/>
          <w:bCs w:val="1"/>
          <w:rtl w:val="0"/>
        </w:rPr>
        <w:t xml:space="preserve">Table 4.6b: Group — Elevated Fasting Blood Sugar</w:t>
      </w:r>
    </w:p>
    <w:tbl>
      <w:tblPr>
        <w:tblStyle w:val="Table9"/>
        <w:tblW w:w="9026.0" w:type="dxa"/>
        <w:jc w:val="left"/>
        <w:tblLayout w:type="fixed"/>
        <w:tblLook w:val="0400"/>
      </w:tblPr>
      <w:tblGrid>
        <w:gridCol w:w="2120"/>
        <w:gridCol w:w="1078"/>
        <w:gridCol w:w="1647"/>
        <w:gridCol w:w="1694"/>
        <w:gridCol w:w="2487"/>
        <w:tblGridChange w:id="0">
          <w:tblGrid>
            <w:gridCol w:w="2120"/>
            <w:gridCol w:w="1078"/>
            <w:gridCol w:w="1647"/>
            <w:gridCol w:w="1694"/>
            <w:gridCol w:w="2487"/>
          </w:tblGrid>
        </w:tblGridChange>
      </w:tblGrid>
      <w:tr>
        <w:trPr>
          <w:cantSplit w:val="0"/>
          <w:tblHeader w:val="0"/>
        </w:trPr>
        <w:tc>
          <w:tcPr>
            <w:tcBorders>
              <w:bottom w:color="919191" w:space="0" w:sz="4" w:val="single"/>
            </w:tcBorders>
          </w:tcPr>
          <w:p w:rsidR="00000000" w:rsidDel="00000000" w:rsidP="00000000" w:rsidRDefault="00000000" w:rsidRPr="00000000" w14:paraId="000000F7">
            <w:pPr>
              <w:rPr>
                <w:b w:val="1"/>
                <w:bCs w:val="1"/>
              </w:rPr>
            </w:pPr>
            <w:r w:rsidDel="00000000" w:rsidR="00000000" w:rsidRPr="00000000">
              <w:rPr>
                <w:b w:val="1"/>
                <w:bCs w:val="1"/>
                <w:rtl w:val="0"/>
              </w:rPr>
              <w:t xml:space="preserve">Chest Pain Type</w:t>
            </w:r>
          </w:p>
        </w:tc>
        <w:tc>
          <w:tcPr>
            <w:tcBorders>
              <w:bottom w:color="919191" w:space="0" w:sz="4" w:val="single"/>
            </w:tcBorders>
          </w:tcPr>
          <w:p w:rsidR="00000000" w:rsidDel="00000000" w:rsidP="00000000" w:rsidRDefault="00000000" w:rsidRPr="00000000" w14:paraId="000000F8">
            <w:pPr>
              <w:rPr>
                <w:b w:val="1"/>
                <w:bCs w:val="1"/>
              </w:rPr>
            </w:pPr>
            <w:r w:rsidDel="00000000" w:rsidR="00000000" w:rsidRPr="00000000">
              <w:rPr>
                <w:b w:val="1"/>
                <w:bCs w:val="1"/>
                <w:rtl w:val="0"/>
              </w:rPr>
              <w:t xml:space="preserve">ECG Finding</w:t>
            </w:r>
          </w:p>
        </w:tc>
        <w:tc>
          <w:tcPr>
            <w:tcBorders>
              <w:bottom w:color="919191" w:space="0" w:sz="4" w:val="single"/>
            </w:tcBorders>
          </w:tcPr>
          <w:p w:rsidR="00000000" w:rsidDel="00000000" w:rsidP="00000000" w:rsidRDefault="00000000" w:rsidRPr="00000000" w14:paraId="000000F9">
            <w:pPr>
              <w:rPr>
                <w:b w:val="1"/>
                <w:bCs w:val="1"/>
              </w:rPr>
            </w:pPr>
            <w:r w:rsidDel="00000000" w:rsidR="00000000" w:rsidRPr="00000000">
              <w:rPr>
                <w:b w:val="1"/>
                <w:bCs w:val="1"/>
                <w:rtl w:val="0"/>
              </w:rPr>
              <w:t xml:space="preserve">EMMean (MaxHR)</w:t>
            </w:r>
          </w:p>
        </w:tc>
        <w:tc>
          <w:tcPr>
            <w:tcBorders>
              <w:bottom w:color="919191" w:space="0" w:sz="4" w:val="single"/>
            </w:tcBorders>
          </w:tcPr>
          <w:p w:rsidR="00000000" w:rsidDel="00000000" w:rsidP="00000000" w:rsidRDefault="00000000" w:rsidRPr="00000000" w14:paraId="000000FA">
            <w:pPr>
              <w:rPr>
                <w:b w:val="1"/>
                <w:bCs w:val="1"/>
              </w:rPr>
            </w:pPr>
            <w:r w:rsidDel="00000000" w:rsidR="00000000" w:rsidRPr="00000000">
              <w:rPr>
                <w:b w:val="1"/>
                <w:bCs w:val="1"/>
                <w:rtl w:val="0"/>
              </w:rPr>
              <w:t xml:space="preserve">Standard Error (SE)</w:t>
            </w:r>
          </w:p>
        </w:tc>
        <w:tc>
          <w:tcPr>
            <w:tcBorders>
              <w:bottom w:color="919191" w:space="0" w:sz="4" w:val="single"/>
            </w:tcBorders>
          </w:tcPr>
          <w:p w:rsidR="00000000" w:rsidDel="00000000" w:rsidP="00000000" w:rsidRDefault="00000000" w:rsidRPr="00000000" w14:paraId="000000FB">
            <w:pPr>
              <w:rPr>
                <w:b w:val="1"/>
                <w:bCs w:val="1"/>
              </w:rPr>
            </w:pPr>
            <w:r w:rsidDel="00000000" w:rsidR="00000000" w:rsidRPr="00000000">
              <w:rPr>
                <w:b w:val="1"/>
                <w:bCs w:val="1"/>
                <w:rtl w:val="0"/>
              </w:rPr>
              <w:t xml:space="preserve">95% Confidence Interval (CI)</w:t>
            </w:r>
          </w:p>
        </w:tc>
      </w:tr>
      <w:tr>
        <w:trPr>
          <w:cantSplit w:val="0"/>
          <w:tblHeader w:val="0"/>
        </w:trPr>
        <w:tc>
          <w:tcPr>
            <w:tcBorders>
              <w:bottom w:color="dde1eb" w:space="0" w:sz="4" w:val="single"/>
            </w:tcBorders>
          </w:tcPr>
          <w:p w:rsidR="00000000" w:rsidDel="00000000" w:rsidP="00000000" w:rsidRDefault="00000000" w:rsidRPr="00000000" w14:paraId="000000FC">
            <w:pPr>
              <w:rPr>
                <w:b w:val="1"/>
                <w:bCs w:val="1"/>
              </w:rPr>
            </w:pPr>
            <w:r w:rsidDel="00000000" w:rsidR="00000000" w:rsidRPr="00000000">
              <w:rPr>
                <w:b w:val="1"/>
                <w:bCs w:val="1"/>
                <w:rtl w:val="0"/>
              </w:rPr>
              <w:t xml:space="preserve">ASY (Asymptomatic)</w:t>
            </w:r>
          </w:p>
        </w:tc>
        <w:tc>
          <w:tcPr>
            <w:tcBorders>
              <w:bottom w:color="dde1eb" w:space="0" w:sz="4" w:val="single"/>
            </w:tcBorders>
          </w:tcPr>
          <w:p w:rsidR="00000000" w:rsidDel="00000000" w:rsidP="00000000" w:rsidRDefault="00000000" w:rsidRPr="00000000" w14:paraId="000000FD">
            <w:pPr>
              <w:rPr>
                <w:b w:val="1"/>
                <w:bCs w:val="1"/>
              </w:rPr>
            </w:pPr>
            <w:r w:rsidDel="00000000" w:rsidR="00000000" w:rsidRPr="00000000">
              <w:rPr>
                <w:b w:val="1"/>
                <w:bCs w:val="1"/>
                <w:rtl w:val="0"/>
              </w:rPr>
              <w:t xml:space="preserve">LVH</w:t>
            </w:r>
          </w:p>
        </w:tc>
        <w:tc>
          <w:tcPr>
            <w:tcBorders>
              <w:bottom w:color="dde1eb" w:space="0" w:sz="4" w:val="single"/>
            </w:tcBorders>
          </w:tcPr>
          <w:p w:rsidR="00000000" w:rsidDel="00000000" w:rsidP="00000000" w:rsidRDefault="00000000" w:rsidRPr="00000000" w14:paraId="000000FE">
            <w:pPr>
              <w:rPr>
                <w:b w:val="1"/>
                <w:bCs w:val="1"/>
              </w:rPr>
            </w:pPr>
            <w:r w:rsidDel="00000000" w:rsidR="00000000" w:rsidRPr="00000000">
              <w:rPr>
                <w:b w:val="1"/>
                <w:bCs w:val="1"/>
                <w:rtl w:val="0"/>
              </w:rPr>
              <w:t xml:space="preserve">425</w:t>
            </w:r>
          </w:p>
        </w:tc>
        <w:tc>
          <w:tcPr>
            <w:tcBorders>
              <w:bottom w:color="dde1eb" w:space="0" w:sz="4" w:val="single"/>
            </w:tcBorders>
          </w:tcPr>
          <w:p w:rsidR="00000000" w:rsidDel="00000000" w:rsidP="00000000" w:rsidRDefault="00000000" w:rsidRPr="00000000" w14:paraId="000000FF">
            <w:pPr>
              <w:rPr>
                <w:b w:val="1"/>
                <w:bCs w:val="1"/>
              </w:rPr>
            </w:pPr>
            <w:r w:rsidDel="00000000" w:rsidR="00000000" w:rsidRPr="00000000">
              <w:rPr>
                <w:b w:val="1"/>
                <w:bCs w:val="1"/>
                <w:rtl w:val="0"/>
              </w:rPr>
              <w:t xml:space="preserve">54.6</w:t>
            </w:r>
          </w:p>
        </w:tc>
        <w:tc>
          <w:tcPr>
            <w:tcBorders>
              <w:bottom w:color="dde1eb" w:space="0" w:sz="4" w:val="single"/>
            </w:tcBorders>
          </w:tcPr>
          <w:p w:rsidR="00000000" w:rsidDel="00000000" w:rsidP="00000000" w:rsidRDefault="00000000" w:rsidRPr="00000000" w14:paraId="00000100">
            <w:pPr>
              <w:rPr>
                <w:b w:val="1"/>
                <w:bCs w:val="1"/>
              </w:rPr>
            </w:pPr>
            <w:r w:rsidDel="00000000" w:rsidR="00000000" w:rsidRPr="00000000">
              <w:rPr>
                <w:b w:val="1"/>
                <w:bCs w:val="1"/>
                <w:rtl w:val="0"/>
              </w:rPr>
              <w:t xml:space="preserve">318 – 532</w:t>
            </w:r>
          </w:p>
        </w:tc>
      </w:tr>
      <w:tr>
        <w:trPr>
          <w:cantSplit w:val="0"/>
          <w:tblHeader w:val="0"/>
        </w:trPr>
        <w:tc>
          <w:tcPr>
            <w:tcBorders>
              <w:bottom w:color="dde1eb" w:space="0" w:sz="4" w:val="single"/>
            </w:tcBorders>
          </w:tcPr>
          <w:p w:rsidR="00000000" w:rsidDel="00000000" w:rsidP="00000000" w:rsidRDefault="00000000" w:rsidRPr="00000000" w14:paraId="00000101">
            <w:pPr>
              <w:rPr>
                <w:b w:val="1"/>
                <w:bCs w:val="1"/>
              </w:rPr>
            </w:pPr>
            <w:r w:rsidDel="00000000" w:rsidR="00000000" w:rsidRPr="00000000">
              <w:rPr>
                <w:b w:val="1"/>
                <w:bCs w:val="1"/>
                <w:rtl w:val="0"/>
              </w:rPr>
              <w:t xml:space="preserve">ATA (Atypical Angina)</w:t>
            </w:r>
          </w:p>
        </w:tc>
        <w:tc>
          <w:tcPr>
            <w:tcBorders>
              <w:bottom w:color="dde1eb" w:space="0" w:sz="4" w:val="single"/>
            </w:tcBorders>
          </w:tcPr>
          <w:p w:rsidR="00000000" w:rsidDel="00000000" w:rsidP="00000000" w:rsidRDefault="00000000" w:rsidRPr="00000000" w14:paraId="00000102">
            <w:pPr>
              <w:rPr>
                <w:b w:val="1"/>
                <w:bCs w:val="1"/>
              </w:rPr>
            </w:pPr>
            <w:r w:rsidDel="00000000" w:rsidR="00000000" w:rsidRPr="00000000">
              <w:rPr>
                <w:b w:val="1"/>
                <w:bCs w:val="1"/>
                <w:rtl w:val="0"/>
              </w:rPr>
              <w:t xml:space="preserve">LVH</w:t>
            </w:r>
          </w:p>
        </w:tc>
        <w:tc>
          <w:tcPr>
            <w:tcBorders>
              <w:bottom w:color="dde1eb" w:space="0" w:sz="4" w:val="single"/>
            </w:tcBorders>
          </w:tcPr>
          <w:p w:rsidR="00000000" w:rsidDel="00000000" w:rsidP="00000000" w:rsidRDefault="00000000" w:rsidRPr="00000000" w14:paraId="00000103">
            <w:pPr>
              <w:rPr>
                <w:b w:val="1"/>
                <w:bCs w:val="1"/>
              </w:rPr>
            </w:pPr>
            <w:r w:rsidDel="00000000" w:rsidR="00000000" w:rsidRPr="00000000">
              <w:rPr>
                <w:b w:val="1"/>
                <w:bCs w:val="1"/>
                <w:rtl w:val="0"/>
              </w:rPr>
              <w:t xml:space="preserve">411</w:t>
            </w:r>
          </w:p>
        </w:tc>
        <w:tc>
          <w:tcPr>
            <w:tcBorders>
              <w:bottom w:color="dde1eb" w:space="0" w:sz="4" w:val="single"/>
            </w:tcBorders>
          </w:tcPr>
          <w:p w:rsidR="00000000" w:rsidDel="00000000" w:rsidP="00000000" w:rsidRDefault="00000000" w:rsidRPr="00000000" w14:paraId="00000104">
            <w:pPr>
              <w:rPr>
                <w:b w:val="1"/>
                <w:bCs w:val="1"/>
              </w:rPr>
            </w:pPr>
            <w:r w:rsidDel="00000000" w:rsidR="00000000" w:rsidRPr="00000000">
              <w:rPr>
                <w:b w:val="1"/>
                <w:bCs w:val="1"/>
                <w:rtl w:val="0"/>
              </w:rPr>
              <w:t xml:space="preserve">154.0</w:t>
            </w:r>
          </w:p>
        </w:tc>
        <w:tc>
          <w:tcPr>
            <w:tcBorders>
              <w:bottom w:color="dde1eb" w:space="0" w:sz="4" w:val="single"/>
            </w:tcBorders>
          </w:tcPr>
          <w:p w:rsidR="00000000" w:rsidDel="00000000" w:rsidP="00000000" w:rsidRDefault="00000000" w:rsidRPr="00000000" w14:paraId="00000105">
            <w:pPr>
              <w:rPr>
                <w:b w:val="1"/>
                <w:bCs w:val="1"/>
              </w:rPr>
            </w:pPr>
            <w:r w:rsidDel="00000000" w:rsidR="00000000" w:rsidRPr="00000000">
              <w:rPr>
                <w:b w:val="1"/>
                <w:bCs w:val="1"/>
                <w:rtl w:val="0"/>
              </w:rPr>
              <w:t xml:space="preserve">108 – 714</w:t>
            </w:r>
          </w:p>
        </w:tc>
      </w:tr>
      <w:tr>
        <w:trPr>
          <w:cantSplit w:val="0"/>
          <w:tblHeader w:val="0"/>
        </w:trPr>
        <w:tc>
          <w:tcPr>
            <w:tcBorders>
              <w:bottom w:color="dde1eb" w:space="0" w:sz="4" w:val="single"/>
            </w:tcBorders>
          </w:tcPr>
          <w:p w:rsidR="00000000" w:rsidDel="00000000" w:rsidP="00000000" w:rsidRDefault="00000000" w:rsidRPr="00000000" w14:paraId="00000106">
            <w:pPr>
              <w:rPr>
                <w:b w:val="1"/>
                <w:bCs w:val="1"/>
              </w:rPr>
            </w:pPr>
            <w:r w:rsidDel="00000000" w:rsidR="00000000" w:rsidRPr="00000000">
              <w:rPr>
                <w:b w:val="1"/>
                <w:bCs w:val="1"/>
                <w:rtl w:val="0"/>
              </w:rPr>
              <w:t xml:space="preserve">NAP (Non-anginal Pain)</w:t>
            </w:r>
          </w:p>
        </w:tc>
        <w:tc>
          <w:tcPr>
            <w:tcBorders>
              <w:bottom w:color="dde1eb" w:space="0" w:sz="4" w:val="single"/>
            </w:tcBorders>
          </w:tcPr>
          <w:p w:rsidR="00000000" w:rsidDel="00000000" w:rsidP="00000000" w:rsidRDefault="00000000" w:rsidRPr="00000000" w14:paraId="00000107">
            <w:pPr>
              <w:rPr>
                <w:b w:val="1"/>
                <w:bCs w:val="1"/>
              </w:rPr>
            </w:pPr>
            <w:r w:rsidDel="00000000" w:rsidR="00000000" w:rsidRPr="00000000">
              <w:rPr>
                <w:b w:val="1"/>
                <w:bCs w:val="1"/>
                <w:rtl w:val="0"/>
              </w:rPr>
              <w:t xml:space="preserve">LVH</w:t>
            </w:r>
          </w:p>
        </w:tc>
        <w:tc>
          <w:tcPr>
            <w:tcBorders>
              <w:bottom w:color="dde1eb" w:space="0" w:sz="4" w:val="single"/>
            </w:tcBorders>
          </w:tcPr>
          <w:p w:rsidR="00000000" w:rsidDel="00000000" w:rsidP="00000000" w:rsidRDefault="00000000" w:rsidRPr="00000000" w14:paraId="00000108">
            <w:pPr>
              <w:rPr>
                <w:b w:val="1"/>
                <w:bCs w:val="1"/>
              </w:rPr>
            </w:pPr>
            <w:r w:rsidDel="00000000" w:rsidR="00000000" w:rsidRPr="00000000">
              <w:rPr>
                <w:b w:val="1"/>
                <w:bCs w:val="1"/>
                <w:rtl w:val="0"/>
              </w:rPr>
              <w:t xml:space="preserve">490</w:t>
            </w:r>
          </w:p>
        </w:tc>
        <w:tc>
          <w:tcPr>
            <w:tcBorders>
              <w:bottom w:color="dde1eb" w:space="0" w:sz="4" w:val="single"/>
            </w:tcBorders>
          </w:tcPr>
          <w:p w:rsidR="00000000" w:rsidDel="00000000" w:rsidP="00000000" w:rsidRDefault="00000000" w:rsidRPr="00000000" w14:paraId="00000109">
            <w:pPr>
              <w:rPr>
                <w:b w:val="1"/>
                <w:bCs w:val="1"/>
              </w:rPr>
            </w:pPr>
            <w:r w:rsidDel="00000000" w:rsidR="00000000" w:rsidRPr="00000000">
              <w:rPr>
                <w:b w:val="1"/>
                <w:bCs w:val="1"/>
                <w:rtl w:val="0"/>
              </w:rPr>
              <w:t xml:space="preserve">84.6</w:t>
            </w:r>
          </w:p>
        </w:tc>
        <w:tc>
          <w:tcPr>
            <w:tcBorders>
              <w:bottom w:color="dde1eb" w:space="0" w:sz="4" w:val="single"/>
            </w:tcBorders>
          </w:tcPr>
          <w:p w:rsidR="00000000" w:rsidDel="00000000" w:rsidP="00000000" w:rsidRDefault="00000000" w:rsidRPr="00000000" w14:paraId="0000010A">
            <w:pPr>
              <w:rPr>
                <w:b w:val="1"/>
                <w:bCs w:val="1"/>
              </w:rPr>
            </w:pPr>
            <w:r w:rsidDel="00000000" w:rsidR="00000000" w:rsidRPr="00000000">
              <w:rPr>
                <w:b w:val="1"/>
                <w:bCs w:val="1"/>
                <w:rtl w:val="0"/>
              </w:rPr>
              <w:t xml:space="preserve">325 – 656</w:t>
            </w:r>
          </w:p>
        </w:tc>
      </w:tr>
      <w:tr>
        <w:trPr>
          <w:cantSplit w:val="0"/>
          <w:tblHeader w:val="0"/>
        </w:trPr>
        <w:tc>
          <w:tcPr>
            <w:tcBorders>
              <w:bottom w:color="dde1eb" w:space="0" w:sz="4" w:val="single"/>
            </w:tcBorders>
          </w:tcPr>
          <w:p w:rsidR="00000000" w:rsidDel="00000000" w:rsidP="00000000" w:rsidRDefault="00000000" w:rsidRPr="00000000" w14:paraId="0000010B">
            <w:pPr>
              <w:rPr>
                <w:b w:val="1"/>
                <w:bCs w:val="1"/>
              </w:rPr>
            </w:pPr>
            <w:r w:rsidDel="00000000" w:rsidR="00000000" w:rsidRPr="00000000">
              <w:rPr>
                <w:b w:val="1"/>
                <w:bCs w:val="1"/>
                <w:rtl w:val="0"/>
              </w:rPr>
              <w:t xml:space="preserve">TA (Typical Angina)</w:t>
            </w:r>
          </w:p>
        </w:tc>
        <w:tc>
          <w:tcPr>
            <w:tcBorders>
              <w:bottom w:color="dde1eb" w:space="0" w:sz="4" w:val="single"/>
            </w:tcBorders>
          </w:tcPr>
          <w:p w:rsidR="00000000" w:rsidDel="00000000" w:rsidP="00000000" w:rsidRDefault="00000000" w:rsidRPr="00000000" w14:paraId="0000010C">
            <w:pPr>
              <w:rPr>
                <w:b w:val="1"/>
                <w:bCs w:val="1"/>
              </w:rPr>
            </w:pPr>
            <w:r w:rsidDel="00000000" w:rsidR="00000000" w:rsidRPr="00000000">
              <w:rPr>
                <w:b w:val="1"/>
                <w:bCs w:val="1"/>
                <w:rtl w:val="0"/>
              </w:rPr>
              <w:t xml:space="preserve">LVH</w:t>
            </w:r>
          </w:p>
        </w:tc>
        <w:tc>
          <w:tcPr>
            <w:tcBorders>
              <w:bottom w:color="dde1eb" w:space="0" w:sz="4" w:val="single"/>
            </w:tcBorders>
          </w:tcPr>
          <w:p w:rsidR="00000000" w:rsidDel="00000000" w:rsidP="00000000" w:rsidRDefault="00000000" w:rsidRPr="00000000" w14:paraId="0000010D">
            <w:pPr>
              <w:rPr>
                <w:b w:val="1"/>
                <w:bCs w:val="1"/>
              </w:rPr>
            </w:pPr>
            <w:r w:rsidDel="00000000" w:rsidR="00000000" w:rsidRPr="00000000">
              <w:rPr>
                <w:b w:val="1"/>
                <w:bCs w:val="1"/>
                <w:rtl w:val="0"/>
              </w:rPr>
              <w:t xml:space="preserve">501</w:t>
            </w:r>
          </w:p>
        </w:tc>
        <w:tc>
          <w:tcPr>
            <w:tcBorders>
              <w:bottom w:color="dde1eb" w:space="0" w:sz="4" w:val="single"/>
            </w:tcBorders>
          </w:tcPr>
          <w:p w:rsidR="00000000" w:rsidDel="00000000" w:rsidP="00000000" w:rsidRDefault="00000000" w:rsidRPr="00000000" w14:paraId="0000010E">
            <w:pPr>
              <w:rPr>
                <w:b w:val="1"/>
                <w:bCs w:val="1"/>
              </w:rPr>
            </w:pPr>
            <w:r w:rsidDel="00000000" w:rsidR="00000000" w:rsidRPr="00000000">
              <w:rPr>
                <w:b w:val="1"/>
                <w:bCs w:val="1"/>
                <w:rtl w:val="0"/>
              </w:rPr>
              <w:t xml:space="preserve">120.0</w:t>
            </w:r>
          </w:p>
        </w:tc>
        <w:tc>
          <w:tcPr>
            <w:tcBorders>
              <w:bottom w:color="dde1eb" w:space="0" w:sz="4" w:val="single"/>
            </w:tcBorders>
          </w:tcPr>
          <w:p w:rsidR="00000000" w:rsidDel="00000000" w:rsidP="00000000" w:rsidRDefault="00000000" w:rsidRPr="00000000" w14:paraId="0000010F">
            <w:pPr>
              <w:rPr>
                <w:b w:val="1"/>
                <w:bCs w:val="1"/>
              </w:rPr>
            </w:pPr>
            <w:r w:rsidDel="00000000" w:rsidR="00000000" w:rsidRPr="00000000">
              <w:rPr>
                <w:b w:val="1"/>
                <w:bCs w:val="1"/>
                <w:rtl w:val="0"/>
              </w:rPr>
              <w:t xml:space="preserve">266 – 736</w:t>
            </w:r>
          </w:p>
        </w:tc>
      </w:tr>
      <w:tr>
        <w:trPr>
          <w:cantSplit w:val="0"/>
          <w:tblHeader w:val="0"/>
        </w:trPr>
        <w:tc>
          <w:tcPr>
            <w:tcBorders>
              <w:bottom w:color="dde1eb" w:space="0" w:sz="4" w:val="single"/>
            </w:tcBorders>
          </w:tcPr>
          <w:p w:rsidR="00000000" w:rsidDel="00000000" w:rsidP="00000000" w:rsidRDefault="00000000" w:rsidRPr="00000000" w14:paraId="00000110">
            <w:pPr>
              <w:rPr>
                <w:b w:val="1"/>
                <w:bCs w:val="1"/>
              </w:rPr>
            </w:pPr>
            <w:r w:rsidDel="00000000" w:rsidR="00000000" w:rsidRPr="00000000">
              <w:rPr>
                <w:b w:val="1"/>
                <w:bCs w:val="1"/>
                <w:rtl w:val="0"/>
              </w:rPr>
              <w:t xml:space="preserve">ASY (Asymptomatic)</w:t>
            </w:r>
          </w:p>
        </w:tc>
        <w:tc>
          <w:tcPr>
            <w:tcBorders>
              <w:bottom w:color="dde1eb" w:space="0" w:sz="4" w:val="single"/>
            </w:tcBorders>
          </w:tcPr>
          <w:p w:rsidR="00000000" w:rsidDel="00000000" w:rsidP="00000000" w:rsidRDefault="00000000" w:rsidRPr="00000000" w14:paraId="00000111">
            <w:pPr>
              <w:rPr>
                <w:b w:val="1"/>
                <w:bCs w:val="1"/>
              </w:rPr>
            </w:pPr>
            <w:r w:rsidDel="00000000" w:rsidR="00000000" w:rsidRPr="00000000">
              <w:rPr>
                <w:b w:val="1"/>
                <w:bCs w:val="1"/>
                <w:rtl w:val="0"/>
              </w:rPr>
              <w:t xml:space="preserve">Normal</w:t>
            </w:r>
          </w:p>
        </w:tc>
        <w:tc>
          <w:tcPr>
            <w:tcBorders>
              <w:bottom w:color="dde1eb" w:space="0" w:sz="4" w:val="single"/>
            </w:tcBorders>
          </w:tcPr>
          <w:p w:rsidR="00000000" w:rsidDel="00000000" w:rsidP="00000000" w:rsidRDefault="00000000" w:rsidRPr="00000000" w14:paraId="00000112">
            <w:pPr>
              <w:rPr>
                <w:b w:val="1"/>
                <w:bCs w:val="1"/>
              </w:rPr>
            </w:pPr>
            <w:r w:rsidDel="00000000" w:rsidR="00000000" w:rsidRPr="00000000">
              <w:rPr>
                <w:b w:val="1"/>
                <w:bCs w:val="1"/>
                <w:rtl w:val="0"/>
              </w:rPr>
              <w:t xml:space="preserve">452</w:t>
            </w:r>
          </w:p>
        </w:tc>
        <w:tc>
          <w:tcPr>
            <w:tcBorders>
              <w:bottom w:color="dde1eb" w:space="0" w:sz="4" w:val="single"/>
            </w:tcBorders>
          </w:tcPr>
          <w:p w:rsidR="00000000" w:rsidDel="00000000" w:rsidP="00000000" w:rsidRDefault="00000000" w:rsidRPr="00000000" w14:paraId="00000113">
            <w:pPr>
              <w:rPr>
                <w:b w:val="1"/>
                <w:bCs w:val="1"/>
              </w:rPr>
            </w:pPr>
            <w:r w:rsidDel="00000000" w:rsidR="00000000" w:rsidRPr="00000000">
              <w:rPr>
                <w:b w:val="1"/>
                <w:bCs w:val="1"/>
                <w:rtl w:val="0"/>
              </w:rPr>
              <w:t xml:space="preserve">30.9</w:t>
            </w:r>
          </w:p>
        </w:tc>
        <w:tc>
          <w:tcPr>
            <w:tcBorders>
              <w:bottom w:color="dde1eb" w:space="0" w:sz="4" w:val="single"/>
            </w:tcBorders>
          </w:tcPr>
          <w:p w:rsidR="00000000" w:rsidDel="00000000" w:rsidP="00000000" w:rsidRDefault="00000000" w:rsidRPr="00000000" w14:paraId="00000114">
            <w:pPr>
              <w:rPr>
                <w:b w:val="1"/>
                <w:bCs w:val="1"/>
              </w:rPr>
            </w:pPr>
            <w:r w:rsidDel="00000000" w:rsidR="00000000" w:rsidRPr="00000000">
              <w:rPr>
                <w:b w:val="1"/>
                <w:bCs w:val="1"/>
                <w:rtl w:val="0"/>
              </w:rPr>
              <w:t xml:space="preserve">392 – 513</w:t>
            </w:r>
          </w:p>
        </w:tc>
      </w:tr>
      <w:tr>
        <w:trPr>
          <w:cantSplit w:val="0"/>
          <w:tblHeader w:val="0"/>
        </w:trPr>
        <w:tc>
          <w:tcPr>
            <w:tcBorders>
              <w:bottom w:color="dde1eb" w:space="0" w:sz="4" w:val="single"/>
            </w:tcBorders>
          </w:tcPr>
          <w:p w:rsidR="00000000" w:rsidDel="00000000" w:rsidP="00000000" w:rsidRDefault="00000000" w:rsidRPr="00000000" w14:paraId="00000115">
            <w:pPr>
              <w:rPr>
                <w:b w:val="1"/>
                <w:bCs w:val="1"/>
              </w:rPr>
            </w:pPr>
            <w:r w:rsidDel="00000000" w:rsidR="00000000" w:rsidRPr="00000000">
              <w:rPr>
                <w:b w:val="1"/>
                <w:bCs w:val="1"/>
                <w:rtl w:val="0"/>
              </w:rPr>
              <w:t xml:space="preserve">ATA (Atypical Angina)</w:t>
            </w:r>
          </w:p>
        </w:tc>
        <w:tc>
          <w:tcPr>
            <w:tcBorders>
              <w:bottom w:color="dde1eb" w:space="0" w:sz="4" w:val="single"/>
            </w:tcBorders>
          </w:tcPr>
          <w:p w:rsidR="00000000" w:rsidDel="00000000" w:rsidP="00000000" w:rsidRDefault="00000000" w:rsidRPr="00000000" w14:paraId="00000116">
            <w:pPr>
              <w:rPr>
                <w:b w:val="1"/>
                <w:bCs w:val="1"/>
              </w:rPr>
            </w:pPr>
            <w:r w:rsidDel="00000000" w:rsidR="00000000" w:rsidRPr="00000000">
              <w:rPr>
                <w:b w:val="1"/>
                <w:bCs w:val="1"/>
                <w:rtl w:val="0"/>
              </w:rPr>
              <w:t xml:space="preserve">Normal</w:t>
            </w:r>
          </w:p>
        </w:tc>
        <w:tc>
          <w:tcPr>
            <w:tcBorders>
              <w:bottom w:color="dde1eb" w:space="0" w:sz="4" w:val="single"/>
            </w:tcBorders>
          </w:tcPr>
          <w:p w:rsidR="00000000" w:rsidDel="00000000" w:rsidP="00000000" w:rsidRDefault="00000000" w:rsidRPr="00000000" w14:paraId="00000117">
            <w:pPr>
              <w:rPr>
                <w:b w:val="1"/>
                <w:bCs w:val="1"/>
              </w:rPr>
            </w:pPr>
            <w:r w:rsidDel="00000000" w:rsidR="00000000" w:rsidRPr="00000000">
              <w:rPr>
                <w:b w:val="1"/>
                <w:bCs w:val="1"/>
                <w:rtl w:val="0"/>
              </w:rPr>
              <w:t xml:space="preserve">422</w:t>
            </w:r>
          </w:p>
        </w:tc>
        <w:tc>
          <w:tcPr>
            <w:tcBorders>
              <w:bottom w:color="dde1eb" w:space="0" w:sz="4" w:val="single"/>
            </w:tcBorders>
          </w:tcPr>
          <w:p w:rsidR="00000000" w:rsidDel="00000000" w:rsidP="00000000" w:rsidRDefault="00000000" w:rsidRPr="00000000" w14:paraId="00000118">
            <w:pPr>
              <w:rPr>
                <w:b w:val="1"/>
                <w:bCs w:val="1"/>
              </w:rPr>
            </w:pPr>
            <w:r w:rsidDel="00000000" w:rsidR="00000000" w:rsidRPr="00000000">
              <w:rPr>
                <w:b w:val="1"/>
                <w:bCs w:val="1"/>
                <w:rtl w:val="0"/>
              </w:rPr>
              <w:t xml:space="preserve">84.6</w:t>
            </w:r>
          </w:p>
        </w:tc>
        <w:tc>
          <w:tcPr>
            <w:tcBorders>
              <w:bottom w:color="dde1eb" w:space="0" w:sz="4" w:val="single"/>
            </w:tcBorders>
          </w:tcPr>
          <w:p w:rsidR="00000000" w:rsidDel="00000000" w:rsidP="00000000" w:rsidRDefault="00000000" w:rsidRPr="00000000" w14:paraId="00000119">
            <w:pPr>
              <w:rPr>
                <w:b w:val="1"/>
                <w:bCs w:val="1"/>
              </w:rPr>
            </w:pPr>
            <w:r w:rsidDel="00000000" w:rsidR="00000000" w:rsidRPr="00000000">
              <w:rPr>
                <w:b w:val="1"/>
                <w:bCs w:val="1"/>
                <w:rtl w:val="0"/>
              </w:rPr>
              <w:t xml:space="preserve">257 – 588</w:t>
            </w:r>
          </w:p>
        </w:tc>
      </w:tr>
      <w:tr>
        <w:trPr>
          <w:cantSplit w:val="0"/>
          <w:tblHeader w:val="0"/>
        </w:trPr>
        <w:tc>
          <w:tcPr>
            <w:tcBorders>
              <w:bottom w:color="dde1eb" w:space="0" w:sz="4" w:val="single"/>
            </w:tcBorders>
          </w:tcPr>
          <w:p w:rsidR="00000000" w:rsidDel="00000000" w:rsidP="00000000" w:rsidRDefault="00000000" w:rsidRPr="00000000" w14:paraId="0000011A">
            <w:pPr>
              <w:rPr>
                <w:b w:val="1"/>
                <w:bCs w:val="1"/>
              </w:rPr>
            </w:pPr>
            <w:r w:rsidDel="00000000" w:rsidR="00000000" w:rsidRPr="00000000">
              <w:rPr>
                <w:b w:val="1"/>
                <w:bCs w:val="1"/>
                <w:rtl w:val="0"/>
              </w:rPr>
              <w:t xml:space="preserve">NAP (Non-anginal Pain)</w:t>
            </w:r>
          </w:p>
        </w:tc>
        <w:tc>
          <w:tcPr>
            <w:tcBorders>
              <w:bottom w:color="dde1eb" w:space="0" w:sz="4" w:val="single"/>
            </w:tcBorders>
          </w:tcPr>
          <w:p w:rsidR="00000000" w:rsidDel="00000000" w:rsidP="00000000" w:rsidRDefault="00000000" w:rsidRPr="00000000" w14:paraId="0000011B">
            <w:pPr>
              <w:rPr>
                <w:b w:val="1"/>
                <w:bCs w:val="1"/>
              </w:rPr>
            </w:pPr>
            <w:r w:rsidDel="00000000" w:rsidR="00000000" w:rsidRPr="00000000">
              <w:rPr>
                <w:b w:val="1"/>
                <w:bCs w:val="1"/>
                <w:rtl w:val="0"/>
              </w:rPr>
              <w:t xml:space="preserve">Normal</w:t>
            </w:r>
          </w:p>
        </w:tc>
        <w:tc>
          <w:tcPr>
            <w:tcBorders>
              <w:bottom w:color="dde1eb" w:space="0" w:sz="4" w:val="single"/>
            </w:tcBorders>
          </w:tcPr>
          <w:p w:rsidR="00000000" w:rsidDel="00000000" w:rsidP="00000000" w:rsidRDefault="00000000" w:rsidRPr="00000000" w14:paraId="0000011C">
            <w:pPr>
              <w:rPr>
                <w:b w:val="1"/>
                <w:bCs w:val="1"/>
              </w:rPr>
            </w:pPr>
            <w:r w:rsidDel="00000000" w:rsidR="00000000" w:rsidRPr="00000000">
              <w:rPr>
                <w:b w:val="1"/>
                <w:bCs w:val="1"/>
                <w:rtl w:val="0"/>
              </w:rPr>
              <w:t xml:space="preserve">521</w:t>
            </w:r>
          </w:p>
        </w:tc>
        <w:tc>
          <w:tcPr>
            <w:tcBorders>
              <w:bottom w:color="dde1eb" w:space="0" w:sz="4" w:val="single"/>
            </w:tcBorders>
          </w:tcPr>
          <w:p w:rsidR="00000000" w:rsidDel="00000000" w:rsidP="00000000" w:rsidRDefault="00000000" w:rsidRPr="00000000" w14:paraId="0000011D">
            <w:pPr>
              <w:rPr>
                <w:b w:val="1"/>
                <w:bCs w:val="1"/>
              </w:rPr>
            </w:pPr>
            <w:r w:rsidDel="00000000" w:rsidR="00000000" w:rsidRPr="00000000">
              <w:rPr>
                <w:b w:val="1"/>
                <w:bCs w:val="1"/>
                <w:rtl w:val="0"/>
              </w:rPr>
              <w:t xml:space="preserve">59.8</w:t>
            </w:r>
          </w:p>
        </w:tc>
        <w:tc>
          <w:tcPr>
            <w:tcBorders>
              <w:bottom w:color="dde1eb" w:space="0" w:sz="4" w:val="single"/>
            </w:tcBorders>
          </w:tcPr>
          <w:p w:rsidR="00000000" w:rsidDel="00000000" w:rsidP="00000000" w:rsidRDefault="00000000" w:rsidRPr="00000000" w14:paraId="0000011E">
            <w:pPr>
              <w:rPr>
                <w:b w:val="1"/>
                <w:bCs w:val="1"/>
              </w:rPr>
            </w:pPr>
            <w:r w:rsidDel="00000000" w:rsidR="00000000" w:rsidRPr="00000000">
              <w:rPr>
                <w:b w:val="1"/>
                <w:bCs w:val="1"/>
                <w:rtl w:val="0"/>
              </w:rPr>
              <w:t xml:space="preserve">403 – 638</w:t>
            </w:r>
          </w:p>
        </w:tc>
      </w:tr>
      <w:tr>
        <w:trPr>
          <w:cantSplit w:val="0"/>
          <w:tblHeader w:val="0"/>
        </w:trPr>
        <w:tc>
          <w:tcPr>
            <w:tcBorders>
              <w:bottom w:color="dde1eb" w:space="0" w:sz="4" w:val="single"/>
            </w:tcBorders>
          </w:tcPr>
          <w:p w:rsidR="00000000" w:rsidDel="00000000" w:rsidP="00000000" w:rsidRDefault="00000000" w:rsidRPr="00000000" w14:paraId="0000011F">
            <w:pPr>
              <w:rPr>
                <w:b w:val="1"/>
                <w:bCs w:val="1"/>
              </w:rPr>
            </w:pPr>
            <w:r w:rsidDel="00000000" w:rsidR="00000000" w:rsidRPr="00000000">
              <w:rPr>
                <w:b w:val="1"/>
                <w:bCs w:val="1"/>
                <w:rtl w:val="0"/>
              </w:rPr>
              <w:t xml:space="preserve">TA (Typical Angina)</w:t>
            </w:r>
          </w:p>
        </w:tc>
        <w:tc>
          <w:tcPr>
            <w:tcBorders>
              <w:bottom w:color="dde1eb" w:space="0" w:sz="4" w:val="single"/>
            </w:tcBorders>
          </w:tcPr>
          <w:p w:rsidR="00000000" w:rsidDel="00000000" w:rsidP="00000000" w:rsidRDefault="00000000" w:rsidRPr="00000000" w14:paraId="00000120">
            <w:pPr>
              <w:rPr>
                <w:b w:val="1"/>
                <w:bCs w:val="1"/>
              </w:rPr>
            </w:pPr>
            <w:r w:rsidDel="00000000" w:rsidR="00000000" w:rsidRPr="00000000">
              <w:rPr>
                <w:b w:val="1"/>
                <w:bCs w:val="1"/>
                <w:rtl w:val="0"/>
              </w:rPr>
              <w:t xml:space="preserve">Normal</w:t>
            </w:r>
          </w:p>
        </w:tc>
        <w:tc>
          <w:tcPr>
            <w:tcBorders>
              <w:bottom w:color="dde1eb" w:space="0" w:sz="4" w:val="single"/>
            </w:tcBorders>
          </w:tcPr>
          <w:p w:rsidR="00000000" w:rsidDel="00000000" w:rsidP="00000000" w:rsidRDefault="00000000" w:rsidRPr="00000000" w14:paraId="00000121">
            <w:pPr>
              <w:rPr>
                <w:b w:val="1"/>
                <w:bCs w:val="1"/>
              </w:rPr>
            </w:pPr>
            <w:r w:rsidDel="00000000" w:rsidR="00000000" w:rsidRPr="00000000">
              <w:rPr>
                <w:b w:val="1"/>
                <w:bCs w:val="1"/>
                <w:rtl w:val="0"/>
              </w:rPr>
              <w:t xml:space="preserve">480</w:t>
            </w:r>
          </w:p>
        </w:tc>
        <w:tc>
          <w:tcPr>
            <w:tcBorders>
              <w:bottom w:color="dde1eb" w:space="0" w:sz="4" w:val="single"/>
            </w:tcBorders>
          </w:tcPr>
          <w:p w:rsidR="00000000" w:rsidDel="00000000" w:rsidP="00000000" w:rsidRDefault="00000000" w:rsidRPr="00000000" w14:paraId="00000122">
            <w:pPr>
              <w:rPr>
                <w:b w:val="1"/>
                <w:bCs w:val="1"/>
              </w:rPr>
            </w:pPr>
            <w:r w:rsidDel="00000000" w:rsidR="00000000" w:rsidRPr="00000000">
              <w:rPr>
                <w:b w:val="1"/>
                <w:bCs w:val="1"/>
                <w:rtl w:val="0"/>
              </w:rPr>
              <w:t xml:space="preserve">109.0</w:t>
            </w:r>
          </w:p>
        </w:tc>
        <w:tc>
          <w:tcPr>
            <w:tcBorders>
              <w:bottom w:color="dde1eb" w:space="0" w:sz="4" w:val="single"/>
            </w:tcBorders>
          </w:tcPr>
          <w:p w:rsidR="00000000" w:rsidDel="00000000" w:rsidP="00000000" w:rsidRDefault="00000000" w:rsidRPr="00000000" w14:paraId="00000123">
            <w:pPr>
              <w:rPr>
                <w:b w:val="1"/>
                <w:bCs w:val="1"/>
              </w:rPr>
            </w:pPr>
            <w:r w:rsidDel="00000000" w:rsidR="00000000" w:rsidRPr="00000000">
              <w:rPr>
                <w:b w:val="1"/>
                <w:bCs w:val="1"/>
                <w:rtl w:val="0"/>
              </w:rPr>
              <w:t xml:space="preserve">266 – 694</w:t>
            </w:r>
          </w:p>
        </w:tc>
      </w:tr>
      <w:tr>
        <w:trPr>
          <w:cantSplit w:val="0"/>
          <w:tblHeader w:val="0"/>
        </w:trPr>
        <w:tc>
          <w:tcPr>
            <w:tcBorders>
              <w:bottom w:color="dde1eb" w:space="0" w:sz="4" w:val="single"/>
            </w:tcBorders>
          </w:tcPr>
          <w:p w:rsidR="00000000" w:rsidDel="00000000" w:rsidP="00000000" w:rsidRDefault="00000000" w:rsidRPr="00000000" w14:paraId="00000124">
            <w:pPr>
              <w:rPr>
                <w:b w:val="1"/>
                <w:bCs w:val="1"/>
              </w:rPr>
            </w:pPr>
            <w:r w:rsidDel="00000000" w:rsidR="00000000" w:rsidRPr="00000000">
              <w:rPr>
                <w:b w:val="1"/>
                <w:bCs w:val="1"/>
                <w:rtl w:val="0"/>
              </w:rPr>
              <w:t xml:space="preserve">ASY (Asymptomatic)</w:t>
            </w:r>
          </w:p>
        </w:tc>
        <w:tc>
          <w:tcPr>
            <w:tcBorders>
              <w:bottom w:color="dde1eb" w:space="0" w:sz="4" w:val="single"/>
            </w:tcBorders>
          </w:tcPr>
          <w:p w:rsidR="00000000" w:rsidDel="00000000" w:rsidP="00000000" w:rsidRDefault="00000000" w:rsidRPr="00000000" w14:paraId="00000125">
            <w:pPr>
              <w:rPr>
                <w:b w:val="1"/>
                <w:bCs w:val="1"/>
              </w:rPr>
            </w:pPr>
            <w:r w:rsidDel="00000000" w:rsidR="00000000" w:rsidRPr="00000000">
              <w:rPr>
                <w:b w:val="1"/>
                <w:bCs w:val="1"/>
                <w:rtl w:val="0"/>
              </w:rPr>
              <w:t xml:space="preserve">ST</w:t>
            </w:r>
          </w:p>
        </w:tc>
        <w:tc>
          <w:tcPr>
            <w:tcBorders>
              <w:bottom w:color="dde1eb" w:space="0" w:sz="4" w:val="single"/>
            </w:tcBorders>
          </w:tcPr>
          <w:p w:rsidR="00000000" w:rsidDel="00000000" w:rsidP="00000000" w:rsidRDefault="00000000" w:rsidRPr="00000000" w14:paraId="00000126">
            <w:pPr>
              <w:rPr>
                <w:b w:val="1"/>
                <w:bCs w:val="1"/>
              </w:rPr>
            </w:pPr>
            <w:r w:rsidDel="00000000" w:rsidR="00000000" w:rsidRPr="00000000">
              <w:rPr>
                <w:b w:val="1"/>
                <w:bCs w:val="1"/>
                <w:rtl w:val="0"/>
              </w:rPr>
              <w:t xml:space="preserve">475</w:t>
            </w:r>
          </w:p>
        </w:tc>
        <w:tc>
          <w:tcPr>
            <w:tcBorders>
              <w:bottom w:color="dde1eb" w:space="0" w:sz="4" w:val="single"/>
            </w:tcBorders>
          </w:tcPr>
          <w:p w:rsidR="00000000" w:rsidDel="00000000" w:rsidP="00000000" w:rsidRDefault="00000000" w:rsidRPr="00000000" w14:paraId="00000127">
            <w:pPr>
              <w:rPr>
                <w:b w:val="1"/>
                <w:bCs w:val="1"/>
              </w:rPr>
            </w:pPr>
            <w:r w:rsidDel="00000000" w:rsidR="00000000" w:rsidRPr="00000000">
              <w:rPr>
                <w:b w:val="1"/>
                <w:bCs w:val="1"/>
                <w:rtl w:val="0"/>
              </w:rPr>
              <w:t xml:space="preserve">41.3</w:t>
            </w:r>
          </w:p>
        </w:tc>
        <w:tc>
          <w:tcPr>
            <w:tcBorders>
              <w:bottom w:color="dde1eb" w:space="0" w:sz="4" w:val="single"/>
            </w:tcBorders>
          </w:tcPr>
          <w:p w:rsidR="00000000" w:rsidDel="00000000" w:rsidP="00000000" w:rsidRDefault="00000000" w:rsidRPr="00000000" w14:paraId="00000128">
            <w:pPr>
              <w:rPr>
                <w:b w:val="1"/>
                <w:bCs w:val="1"/>
              </w:rPr>
            </w:pPr>
            <w:r w:rsidDel="00000000" w:rsidR="00000000" w:rsidRPr="00000000">
              <w:rPr>
                <w:b w:val="1"/>
                <w:bCs w:val="1"/>
                <w:rtl w:val="0"/>
              </w:rPr>
              <w:t xml:space="preserve">394 – 556</w:t>
            </w:r>
          </w:p>
        </w:tc>
      </w:tr>
      <w:tr>
        <w:trPr>
          <w:cantSplit w:val="0"/>
          <w:tblHeader w:val="0"/>
        </w:trPr>
        <w:tc>
          <w:tcPr>
            <w:tcBorders>
              <w:bottom w:color="dde1eb" w:space="0" w:sz="4" w:val="single"/>
            </w:tcBorders>
          </w:tcPr>
          <w:p w:rsidR="00000000" w:rsidDel="00000000" w:rsidP="00000000" w:rsidRDefault="00000000" w:rsidRPr="00000000" w14:paraId="00000129">
            <w:pPr>
              <w:rPr>
                <w:b w:val="1"/>
                <w:bCs w:val="1"/>
              </w:rPr>
            </w:pPr>
            <w:r w:rsidDel="00000000" w:rsidR="00000000" w:rsidRPr="00000000">
              <w:rPr>
                <w:b w:val="1"/>
                <w:bCs w:val="1"/>
                <w:rtl w:val="0"/>
              </w:rPr>
              <w:t xml:space="preserve">ATA (Atypical Angina)</w:t>
            </w:r>
          </w:p>
        </w:tc>
        <w:tc>
          <w:tcPr>
            <w:tcBorders>
              <w:bottom w:color="dde1eb" w:space="0" w:sz="4" w:val="single"/>
            </w:tcBorders>
          </w:tcPr>
          <w:p w:rsidR="00000000" w:rsidDel="00000000" w:rsidP="00000000" w:rsidRDefault="00000000" w:rsidRPr="00000000" w14:paraId="0000012A">
            <w:pPr>
              <w:rPr>
                <w:b w:val="1"/>
                <w:bCs w:val="1"/>
              </w:rPr>
            </w:pPr>
            <w:r w:rsidDel="00000000" w:rsidR="00000000" w:rsidRPr="00000000">
              <w:rPr>
                <w:b w:val="1"/>
                <w:bCs w:val="1"/>
                <w:rtl w:val="0"/>
              </w:rPr>
              <w:t xml:space="preserve">ST</w:t>
            </w:r>
          </w:p>
        </w:tc>
        <w:tc>
          <w:tcPr>
            <w:tcBorders>
              <w:bottom w:color="dde1eb" w:space="0" w:sz="4" w:val="single"/>
            </w:tcBorders>
          </w:tcPr>
          <w:p w:rsidR="00000000" w:rsidDel="00000000" w:rsidP="00000000" w:rsidRDefault="00000000" w:rsidRPr="00000000" w14:paraId="0000012B">
            <w:pPr>
              <w:rPr>
                <w:b w:val="1"/>
                <w:bCs w:val="1"/>
              </w:rPr>
            </w:pPr>
            <w:r w:rsidDel="00000000" w:rsidR="00000000" w:rsidRPr="00000000">
              <w:rPr>
                <w:b w:val="1"/>
                <w:bCs w:val="1"/>
                <w:rtl w:val="0"/>
              </w:rPr>
              <w:t xml:space="preserve">485</w:t>
            </w:r>
          </w:p>
        </w:tc>
        <w:tc>
          <w:tcPr>
            <w:tcBorders>
              <w:bottom w:color="dde1eb" w:space="0" w:sz="4" w:val="single"/>
            </w:tcBorders>
          </w:tcPr>
          <w:p w:rsidR="00000000" w:rsidDel="00000000" w:rsidP="00000000" w:rsidRDefault="00000000" w:rsidRPr="00000000" w14:paraId="0000012C">
            <w:pPr>
              <w:rPr>
                <w:b w:val="1"/>
                <w:bCs w:val="1"/>
              </w:rPr>
            </w:pPr>
            <w:r w:rsidDel="00000000" w:rsidR="00000000" w:rsidRPr="00000000">
              <w:rPr>
                <w:b w:val="1"/>
                <w:bCs w:val="1"/>
                <w:rtl w:val="0"/>
              </w:rPr>
              <w:t xml:space="preserve">109.0</w:t>
            </w:r>
          </w:p>
        </w:tc>
        <w:tc>
          <w:tcPr>
            <w:tcBorders>
              <w:bottom w:color="dde1eb" w:space="0" w:sz="4" w:val="single"/>
            </w:tcBorders>
          </w:tcPr>
          <w:p w:rsidR="00000000" w:rsidDel="00000000" w:rsidP="00000000" w:rsidRDefault="00000000" w:rsidRPr="00000000" w14:paraId="0000012D">
            <w:pPr>
              <w:rPr>
                <w:b w:val="1"/>
                <w:bCs w:val="1"/>
              </w:rPr>
            </w:pPr>
            <w:r w:rsidDel="00000000" w:rsidR="00000000" w:rsidRPr="00000000">
              <w:rPr>
                <w:b w:val="1"/>
                <w:bCs w:val="1"/>
                <w:rtl w:val="0"/>
              </w:rPr>
              <w:t xml:space="preserve">271 – 699</w:t>
            </w:r>
          </w:p>
        </w:tc>
      </w:tr>
      <w:tr>
        <w:trPr>
          <w:cantSplit w:val="0"/>
          <w:tblHeader w:val="0"/>
        </w:trPr>
        <w:tc>
          <w:tcPr>
            <w:tcBorders>
              <w:bottom w:color="dde1eb" w:space="0" w:sz="4" w:val="single"/>
            </w:tcBorders>
          </w:tcPr>
          <w:p w:rsidR="00000000" w:rsidDel="00000000" w:rsidP="00000000" w:rsidRDefault="00000000" w:rsidRPr="00000000" w14:paraId="0000012E">
            <w:pPr>
              <w:rPr>
                <w:b w:val="1"/>
                <w:bCs w:val="1"/>
              </w:rPr>
            </w:pPr>
            <w:r w:rsidDel="00000000" w:rsidR="00000000" w:rsidRPr="00000000">
              <w:rPr>
                <w:b w:val="1"/>
                <w:bCs w:val="1"/>
                <w:rtl w:val="0"/>
              </w:rPr>
              <w:t xml:space="preserve">NAP (Non-anginal Pain)</w:t>
            </w:r>
          </w:p>
        </w:tc>
        <w:tc>
          <w:tcPr>
            <w:tcBorders>
              <w:bottom w:color="dde1eb" w:space="0" w:sz="4" w:val="single"/>
            </w:tcBorders>
          </w:tcPr>
          <w:p w:rsidR="00000000" w:rsidDel="00000000" w:rsidP="00000000" w:rsidRDefault="00000000" w:rsidRPr="00000000" w14:paraId="0000012F">
            <w:pPr>
              <w:rPr>
                <w:b w:val="1"/>
                <w:bCs w:val="1"/>
              </w:rPr>
            </w:pPr>
            <w:r w:rsidDel="00000000" w:rsidR="00000000" w:rsidRPr="00000000">
              <w:rPr>
                <w:b w:val="1"/>
                <w:bCs w:val="1"/>
                <w:rtl w:val="0"/>
              </w:rPr>
              <w:t xml:space="preserve">ST</w:t>
            </w:r>
          </w:p>
        </w:tc>
        <w:tc>
          <w:tcPr>
            <w:tcBorders>
              <w:bottom w:color="dde1eb" w:space="0" w:sz="4" w:val="single"/>
            </w:tcBorders>
          </w:tcPr>
          <w:p w:rsidR="00000000" w:rsidDel="00000000" w:rsidP="00000000" w:rsidRDefault="00000000" w:rsidRPr="00000000" w14:paraId="00000130">
            <w:pPr>
              <w:rPr>
                <w:b w:val="1"/>
                <w:bCs w:val="1"/>
              </w:rPr>
            </w:pPr>
            <w:r w:rsidDel="00000000" w:rsidR="00000000" w:rsidRPr="00000000">
              <w:rPr>
                <w:b w:val="1"/>
                <w:bCs w:val="1"/>
                <w:rtl w:val="0"/>
              </w:rPr>
              <w:t xml:space="preserve">395</w:t>
            </w:r>
          </w:p>
        </w:tc>
        <w:tc>
          <w:tcPr>
            <w:tcBorders>
              <w:bottom w:color="dde1eb" w:space="0" w:sz="4" w:val="single"/>
            </w:tcBorders>
          </w:tcPr>
          <w:p w:rsidR="00000000" w:rsidDel="00000000" w:rsidP="00000000" w:rsidRDefault="00000000" w:rsidRPr="00000000" w14:paraId="00000131">
            <w:pPr>
              <w:rPr>
                <w:b w:val="1"/>
                <w:bCs w:val="1"/>
              </w:rPr>
            </w:pPr>
            <w:r w:rsidDel="00000000" w:rsidR="00000000" w:rsidRPr="00000000">
              <w:rPr>
                <w:b w:val="1"/>
                <w:bCs w:val="1"/>
                <w:rtl w:val="0"/>
              </w:rPr>
              <w:t xml:space="preserve">80.6</w:t>
            </w:r>
          </w:p>
        </w:tc>
        <w:tc>
          <w:tcPr>
            <w:tcBorders>
              <w:bottom w:color="dde1eb" w:space="0" w:sz="4" w:val="single"/>
            </w:tcBorders>
          </w:tcPr>
          <w:p w:rsidR="00000000" w:rsidDel="00000000" w:rsidP="00000000" w:rsidRDefault="00000000" w:rsidRPr="00000000" w14:paraId="00000132">
            <w:pPr>
              <w:rPr>
                <w:b w:val="1"/>
                <w:bCs w:val="1"/>
              </w:rPr>
            </w:pPr>
            <w:r w:rsidDel="00000000" w:rsidR="00000000" w:rsidRPr="00000000">
              <w:rPr>
                <w:b w:val="1"/>
                <w:bCs w:val="1"/>
                <w:rtl w:val="0"/>
              </w:rPr>
              <w:t xml:space="preserve">236 – 553</w:t>
            </w:r>
          </w:p>
        </w:tc>
      </w:tr>
      <w:tr>
        <w:trPr>
          <w:cantSplit w:val="0"/>
          <w:tblHeader w:val="0"/>
        </w:trPr>
        <w:tc>
          <w:tcPr>
            <w:tcBorders>
              <w:bottom w:color="dde1eb" w:space="0" w:sz="4" w:val="single"/>
            </w:tcBorders>
          </w:tcPr>
          <w:p w:rsidR="00000000" w:rsidDel="00000000" w:rsidP="00000000" w:rsidRDefault="00000000" w:rsidRPr="00000000" w14:paraId="00000133">
            <w:pPr>
              <w:rPr>
                <w:b w:val="1"/>
                <w:bCs w:val="1"/>
              </w:rPr>
            </w:pPr>
            <w:r w:rsidDel="00000000" w:rsidR="00000000" w:rsidRPr="00000000">
              <w:rPr>
                <w:b w:val="1"/>
                <w:bCs w:val="1"/>
                <w:rtl w:val="0"/>
              </w:rPr>
              <w:t xml:space="preserve">TA (Typical Angina)</w:t>
            </w:r>
          </w:p>
        </w:tc>
        <w:tc>
          <w:tcPr>
            <w:tcBorders>
              <w:bottom w:color="dde1eb" w:space="0" w:sz="4" w:val="single"/>
            </w:tcBorders>
          </w:tcPr>
          <w:p w:rsidR="00000000" w:rsidDel="00000000" w:rsidP="00000000" w:rsidRDefault="00000000" w:rsidRPr="00000000" w14:paraId="00000134">
            <w:pPr>
              <w:rPr>
                <w:b w:val="1"/>
                <w:bCs w:val="1"/>
              </w:rPr>
            </w:pPr>
            <w:r w:rsidDel="00000000" w:rsidR="00000000" w:rsidRPr="00000000">
              <w:rPr>
                <w:b w:val="1"/>
                <w:bCs w:val="1"/>
                <w:rtl w:val="0"/>
              </w:rPr>
              <w:t xml:space="preserve">ST</w:t>
            </w:r>
          </w:p>
        </w:tc>
        <w:tc>
          <w:tcPr>
            <w:tcBorders>
              <w:bottom w:color="dde1eb" w:space="0" w:sz="4" w:val="single"/>
            </w:tcBorders>
          </w:tcPr>
          <w:p w:rsidR="00000000" w:rsidDel="00000000" w:rsidP="00000000" w:rsidRDefault="00000000" w:rsidRPr="00000000" w14:paraId="00000135">
            <w:pPr>
              <w:rPr>
                <w:b w:val="1"/>
                <w:bCs w:val="1"/>
              </w:rPr>
            </w:pPr>
            <w:r w:rsidDel="00000000" w:rsidR="00000000" w:rsidRPr="00000000">
              <w:rPr>
                <w:b w:val="1"/>
                <w:bCs w:val="1"/>
                <w:rtl w:val="0"/>
              </w:rPr>
              <w:t xml:space="preserve">172</w:t>
            </w:r>
          </w:p>
        </w:tc>
        <w:tc>
          <w:tcPr>
            <w:tcBorders>
              <w:bottom w:color="dde1eb" w:space="0" w:sz="4" w:val="single"/>
            </w:tcBorders>
          </w:tcPr>
          <w:p w:rsidR="00000000" w:rsidDel="00000000" w:rsidP="00000000" w:rsidRDefault="00000000" w:rsidRPr="00000000" w14:paraId="00000136">
            <w:pPr>
              <w:rPr>
                <w:b w:val="1"/>
                <w:bCs w:val="1"/>
              </w:rPr>
            </w:pPr>
            <w:r w:rsidDel="00000000" w:rsidR="00000000" w:rsidRPr="00000000">
              <w:rPr>
                <w:b w:val="1"/>
                <w:bCs w:val="1"/>
                <w:rtl w:val="0"/>
              </w:rPr>
              <w:t xml:space="preserve">189.0</w:t>
            </w:r>
          </w:p>
        </w:tc>
        <w:tc>
          <w:tcPr>
            <w:tcBorders>
              <w:bottom w:color="dde1eb" w:space="0" w:sz="4" w:val="single"/>
            </w:tcBorders>
          </w:tcPr>
          <w:p w:rsidR="00000000" w:rsidDel="00000000" w:rsidP="00000000" w:rsidRDefault="00000000" w:rsidRPr="00000000" w14:paraId="00000137">
            <w:pPr>
              <w:rPr>
                <w:b w:val="1"/>
                <w:bCs w:val="1"/>
              </w:rPr>
            </w:pPr>
            <w:r w:rsidDel="00000000" w:rsidR="00000000" w:rsidRPr="00000000">
              <w:rPr>
                <w:b w:val="1"/>
                <w:bCs w:val="1"/>
                <w:rtl w:val="0"/>
              </w:rPr>
              <w:t xml:space="preserve">-199 – 544</w:t>
            </w:r>
          </w:p>
        </w:tc>
      </w:tr>
    </w:tbl>
    <w:p w:rsidR="00000000" w:rsidDel="00000000" w:rsidP="00000000" w:rsidRDefault="00000000" w:rsidRPr="00000000" w14:paraId="00000138">
      <w:pPr>
        <w:rPr/>
      </w:pPr>
      <w:r w:rsidDel="00000000" w:rsidR="00000000" w:rsidRPr="00000000">
        <w:rPr>
          <w:b w:val="1"/>
          <w:bCs w:val="1"/>
          <w:rtl w:val="0"/>
        </w:rPr>
        <w:t xml:space="preserve">General Trend:</w:t>
      </w:r>
      <w:r w:rsidDel="00000000" w:rsidR="00000000" w:rsidRPr="00000000">
        <w:rPr>
          <w:rtl w:val="0"/>
        </w:rPr>
        <w:t xml:space="preserve"> Elevated Fasting Blood Sugar induces higher variability in MaxHR across clinical subgroups. A notable outlier is the </w:t>
      </w:r>
      <w:r w:rsidDel="00000000" w:rsidR="00000000" w:rsidRPr="00000000">
        <w:rPr>
          <w:b w:val="1"/>
          <w:bCs w:val="1"/>
          <w:rtl w:val="0"/>
        </w:rPr>
        <w:t xml:space="preserve">TA + ST + High FBS</w:t>
      </w:r>
      <w:r w:rsidDel="00000000" w:rsidR="00000000" w:rsidRPr="00000000">
        <w:rPr>
          <w:rtl w:val="0"/>
        </w:rPr>
        <w:t xml:space="preserve"> group, with an EMMean of </w:t>
      </w:r>
      <w:r w:rsidDel="00000000" w:rsidR="00000000" w:rsidRPr="00000000">
        <w:rPr>
          <w:b w:val="1"/>
          <w:bCs w:val="1"/>
          <w:rtl w:val="0"/>
        </w:rPr>
        <w:t xml:space="preserve">172</w:t>
      </w:r>
      <w:r w:rsidDel="00000000" w:rsidR="00000000" w:rsidRPr="00000000">
        <w:rPr>
          <w:rtl w:val="0"/>
        </w:rPr>
        <w:t xml:space="preserve">. Given the large SE (189.0), this likely represents data sparsity (n=2) or a state of critical cardiac reserve failure.</w:t>
      </w:r>
    </w:p>
    <w:p w:rsidR="00000000" w:rsidDel="00000000" w:rsidP="00000000" w:rsidRDefault="00000000" w:rsidRPr="00000000" w14:paraId="00000139">
      <w:pPr>
        <w:rPr>
          <w:b w:val="1"/>
          <w:bCs w:val="1"/>
        </w:rPr>
      </w:pPr>
      <w:r w:rsidDel="00000000" w:rsidR="00000000" w:rsidRPr="00000000">
        <w:rPr>
          <w:b w:val="1"/>
          <w:bCs w:val="1"/>
          <w:rtl w:val="0"/>
        </w:rPr>
        <w:t xml:space="preserve">5. Discussion</w:t>
      </w:r>
    </w:p>
    <w:p w:rsidR="00000000" w:rsidDel="00000000" w:rsidP="00000000" w:rsidRDefault="00000000" w:rsidRPr="00000000" w14:paraId="0000013A">
      <w:pPr>
        <w:rPr>
          <w:b w:val="1"/>
          <w:bCs w:val="1"/>
        </w:rPr>
      </w:pPr>
      <w:r w:rsidDel="00000000" w:rsidR="00000000" w:rsidRPr="00000000">
        <w:rPr>
          <w:b w:val="1"/>
          <w:bCs w:val="1"/>
          <w:rtl w:val="0"/>
        </w:rPr>
        <w:t xml:space="preserve">5.1 Interpretation of Findings</w:t>
      </w:r>
    </w:p>
    <w:p w:rsidR="00000000" w:rsidDel="00000000" w:rsidP="00000000" w:rsidRDefault="00000000" w:rsidRPr="00000000" w14:paraId="0000013B">
      <w:pPr>
        <w:rPr/>
      </w:pPr>
      <w:r w:rsidDel="00000000" w:rsidR="00000000" w:rsidRPr="00000000">
        <w:rPr>
          <w:rtl w:val="0"/>
        </w:rPr>
        <w:t xml:space="preserve">The data demonstrate that the ASY group possesses the lowest mean MaxHR (128.48 bpm) compared to symptomatic cohorts (ATA, NAP, TA). This finding is clinically counter-intuitive, as one might expect asymptomatic individuals to be "healthier." Instead, this suggests </w:t>
      </w:r>
      <w:r w:rsidDel="00000000" w:rsidR="00000000" w:rsidRPr="00000000">
        <w:rPr>
          <w:b w:val="1"/>
          <w:bCs w:val="1"/>
          <w:rtl w:val="0"/>
        </w:rPr>
        <w:t xml:space="preserve">reduced chronotropic competence</w:t>
      </w:r>
      <w:r w:rsidDel="00000000" w:rsidR="00000000" w:rsidRPr="00000000">
        <w:rPr>
          <w:rtl w:val="0"/>
        </w:rPr>
        <w:t xml:space="preserve">, where the heart's failure to reach higher rates under stress masks underlying pathology, effectively making these individuals "asymptomatic" only because they cannot physiologically reach the threshold that triggers pain.</w:t>
      </w:r>
    </w:p>
    <w:p w:rsidR="00000000" w:rsidDel="00000000" w:rsidP="00000000" w:rsidRDefault="00000000" w:rsidRPr="00000000" w14:paraId="0000013C">
      <w:pPr>
        <w:rPr>
          <w:b w:val="1"/>
          <w:bCs w:val="1"/>
        </w:rPr>
      </w:pPr>
      <w:r w:rsidDel="00000000" w:rsidR="00000000" w:rsidRPr="00000000">
        <w:rPr>
          <w:b w:val="1"/>
          <w:bCs w:val="1"/>
          <w:rtl w:val="0"/>
        </w:rPr>
        <w:t xml:space="preserve">5.2 The Role of ECG Abnormalities</w:t>
      </w:r>
    </w:p>
    <w:p w:rsidR="00000000" w:rsidDel="00000000" w:rsidP="00000000" w:rsidRDefault="00000000" w:rsidRPr="00000000" w14:paraId="0000013D">
      <w:pPr>
        <w:rPr/>
      </w:pPr>
      <w:r w:rsidDel="00000000" w:rsidR="00000000" w:rsidRPr="00000000">
        <w:rPr>
          <w:rtl w:val="0"/>
        </w:rPr>
        <w:t xml:space="preserve">ST-T abnormalities were consistently associated with the lowest MaxHR performance across all ECG subgroups. Post-hoc analysis confirmed that the ST group differed significantly from both the Normal (</w:t>
      </w:r>
      <w:r w:rsidDel="00000000" w:rsidR="00000000" w:rsidRPr="00000000">
        <w:rPr>
          <w:b w:val="1"/>
          <w:bCs w:val="1"/>
          <w:rtl w:val="0"/>
        </w:rPr>
        <w:t xml:space="preserve">p=0.0261</w:t>
      </w:r>
      <w:r w:rsidDel="00000000" w:rsidR="00000000" w:rsidRPr="00000000">
        <w:rPr>
          <w:rtl w:val="0"/>
        </w:rPr>
        <w:t xml:space="preserve">) and LVH (</w:t>
      </w:r>
      <w:r w:rsidDel="00000000" w:rsidR="00000000" w:rsidRPr="00000000">
        <w:rPr>
          <w:b w:val="1"/>
          <w:bCs w:val="1"/>
          <w:rtl w:val="0"/>
        </w:rPr>
        <w:t xml:space="preserve">p=0.0004</w:t>
      </w:r>
      <w:r w:rsidDel="00000000" w:rsidR="00000000" w:rsidRPr="00000000">
        <w:rPr>
          <w:rtl w:val="0"/>
        </w:rPr>
        <w:t xml:space="preserve">) groups. This reinforces the high diagnostic utility of ST-T changes in identifying impaired cardiovascular capacity.</w:t>
      </w:r>
    </w:p>
    <w:p w:rsidR="00000000" w:rsidDel="00000000" w:rsidP="00000000" w:rsidRDefault="00000000" w:rsidRPr="00000000" w14:paraId="0000013E">
      <w:pPr>
        <w:rPr>
          <w:b w:val="1"/>
          <w:bCs w:val="1"/>
        </w:rPr>
      </w:pPr>
      <w:r w:rsidDel="00000000" w:rsidR="00000000" w:rsidRPr="00000000">
        <w:rPr>
          <w:b w:val="1"/>
          <w:bCs w:val="1"/>
          <w:rtl w:val="0"/>
        </w:rPr>
        <w:t xml:space="preserve">5.3 Silent Myocardial Risk</w:t>
      </w:r>
    </w:p>
    <w:p w:rsidR="00000000" w:rsidDel="00000000" w:rsidP="00000000" w:rsidRDefault="00000000" w:rsidRPr="00000000" w14:paraId="0000013F">
      <w:pPr>
        <w:rPr/>
      </w:pPr>
      <w:r w:rsidDel="00000000" w:rsidR="00000000" w:rsidRPr="00000000">
        <w:rPr>
          <w:rtl w:val="0"/>
        </w:rPr>
        <w:t xml:space="preserve">The study reveals a critical "silent" risk among metabolically compromised individuals. In the elevated FBS group, while 48.12% of the </w:t>
      </w:r>
      <w:r w:rsidDel="00000000" w:rsidR="00000000" w:rsidRPr="00000000">
        <w:rPr>
          <w:i w:val="1"/>
          <w:iCs w:val="1"/>
          <w:rtl w:val="0"/>
        </w:rPr>
        <w:t xml:space="preserve">entire</w:t>
      </w:r>
      <w:r w:rsidDel="00000000" w:rsidR="00000000" w:rsidRPr="00000000">
        <w:rPr>
          <w:rtl w:val="0"/>
        </w:rPr>
        <w:t xml:space="preserve"> subgroup showed ECG abnormalities (ST or LVH), a significant proportion—</w:t>
      </w:r>
      <w:r w:rsidDel="00000000" w:rsidR="00000000" w:rsidRPr="00000000">
        <w:rPr>
          <w:b w:val="1"/>
          <w:bCs w:val="1"/>
          <w:rtl w:val="0"/>
        </w:rPr>
        <w:t xml:space="preserve">30.84% of the total FBS group</w:t>
      </w:r>
      <w:r w:rsidDel="00000000" w:rsidR="00000000" w:rsidRPr="00000000">
        <w:rPr>
          <w:rtl w:val="0"/>
        </w:rPr>
        <w:t xml:space="preserve">—were both asymptomatic and exhibited ECG abnormalities. This synthesis confirms that nearly half of the asymptomatic individuals with metabolic risk factors are harboring subclinical myocardial dysfunction.</w:t>
      </w:r>
    </w:p>
    <w:p w:rsidR="00000000" w:rsidDel="00000000" w:rsidP="00000000" w:rsidRDefault="00000000" w:rsidRPr="00000000" w14:paraId="00000140">
      <w:pPr>
        <w:rPr>
          <w:b w:val="1"/>
          <w:bCs w:val="1"/>
        </w:rPr>
      </w:pPr>
      <w:r w:rsidDel="00000000" w:rsidR="00000000" w:rsidRPr="00000000">
        <w:rPr>
          <w:b w:val="1"/>
          <w:bCs w:val="1"/>
          <w:rtl w:val="0"/>
        </w:rPr>
        <w:t xml:space="preserve">5.4 Methodological Efficacy</w:t>
      </w:r>
    </w:p>
    <w:p w:rsidR="00000000" w:rsidDel="00000000" w:rsidP="00000000" w:rsidRDefault="00000000" w:rsidRPr="00000000" w14:paraId="00000141">
      <w:pPr>
        <w:rPr/>
      </w:pPr>
      <w:r w:rsidDel="00000000" w:rsidR="00000000" w:rsidRPr="00000000">
        <w:rPr>
          <w:rtl w:val="0"/>
        </w:rPr>
        <w:t xml:space="preserve">ART ANOVA effectively identified the independent effects of ECG, FBS, and Chest Pain. The absence of significant interaction terms suggests these factors influence MaxHR through distinct physiological pathways—likely autonomic regulation for metabolic factors and coronary reserve for ECG abnormalities.</w:t>
      </w:r>
    </w:p>
    <w:p w:rsidR="00000000" w:rsidDel="00000000" w:rsidP="00000000" w:rsidRDefault="00000000" w:rsidRPr="00000000" w14:paraId="00000142">
      <w:pPr>
        <w:rPr>
          <w:b w:val="1"/>
          <w:bCs w:val="1"/>
        </w:rPr>
      </w:pPr>
      <w:r w:rsidDel="00000000" w:rsidR="00000000" w:rsidRPr="00000000">
        <w:rPr>
          <w:b w:val="1"/>
          <w:bCs w:val="1"/>
          <w:rtl w:val="0"/>
        </w:rPr>
        <w:t xml:space="preserve">6. Clinical Implications &amp; Future Directions</w:t>
      </w:r>
    </w:p>
    <w:p w:rsidR="00000000" w:rsidDel="00000000" w:rsidP="00000000" w:rsidRDefault="00000000" w:rsidRPr="00000000" w14:paraId="00000143">
      <w:pPr>
        <w:rPr>
          <w:b w:val="1"/>
          <w:bCs w:val="1"/>
        </w:rPr>
      </w:pPr>
      <w:r w:rsidDel="00000000" w:rsidR="00000000" w:rsidRPr="00000000">
        <w:rPr>
          <w:b w:val="1"/>
          <w:bCs w:val="1"/>
          <w:rtl w:val="0"/>
        </w:rPr>
        <w:t xml:space="preserve">6.1 Strategic Recommendations</w:t>
      </w:r>
    </w:p>
    <w:p w:rsidR="00000000" w:rsidDel="00000000" w:rsidP="00000000" w:rsidRDefault="00000000" w:rsidRPr="00000000" w14:paraId="00000144">
      <w:pPr>
        <w:numPr>
          <w:ilvl w:val="0"/>
          <w:numId w:val="2"/>
        </w:numPr>
        <w:ind w:left="720" w:hanging="360"/>
        <w:rPr/>
      </w:pPr>
      <w:r w:rsidDel="00000000" w:rsidR="00000000" w:rsidRPr="00000000">
        <w:rPr>
          <w:b w:val="1"/>
          <w:bCs w:val="1"/>
          <w:rtl w:val="0"/>
        </w:rPr>
        <w:t xml:space="preserve">Routine Screening:</w:t>
      </w:r>
      <w:r w:rsidDel="00000000" w:rsidR="00000000" w:rsidRPr="00000000">
        <w:rPr>
          <w:rtl w:val="0"/>
        </w:rPr>
        <w:t xml:space="preserve"> Implement routine ECG and stress testing for all high-risk populations, regardless of symptom status.</w:t>
      </w:r>
    </w:p>
    <w:p w:rsidR="00000000" w:rsidDel="00000000" w:rsidP="00000000" w:rsidRDefault="00000000" w:rsidRPr="00000000" w14:paraId="00000145">
      <w:pPr>
        <w:numPr>
          <w:ilvl w:val="0"/>
          <w:numId w:val="2"/>
        </w:numPr>
        <w:ind w:left="720" w:hanging="360"/>
        <w:rPr/>
      </w:pPr>
      <w:r w:rsidDel="00000000" w:rsidR="00000000" w:rsidRPr="00000000">
        <w:rPr>
          <w:b w:val="1"/>
          <w:bCs w:val="1"/>
          <w:rtl w:val="0"/>
        </w:rPr>
        <w:t xml:space="preserve">Metabolic Assessment:</w:t>
      </w:r>
      <w:r w:rsidDel="00000000" w:rsidR="00000000" w:rsidRPr="00000000">
        <w:rPr>
          <w:rtl w:val="0"/>
        </w:rPr>
        <w:t xml:space="preserve"> Prioritize glucose screening as a primary modifier of cardiac performance.</w:t>
      </w:r>
    </w:p>
    <w:p w:rsidR="00000000" w:rsidDel="00000000" w:rsidP="00000000" w:rsidRDefault="00000000" w:rsidRPr="00000000" w14:paraId="00000146">
      <w:pPr>
        <w:numPr>
          <w:ilvl w:val="0"/>
          <w:numId w:val="2"/>
        </w:numPr>
        <w:ind w:left="720" w:hanging="360"/>
        <w:rPr/>
      </w:pPr>
      <w:r w:rsidDel="00000000" w:rsidR="00000000" w:rsidRPr="00000000">
        <w:rPr>
          <w:b w:val="1"/>
          <w:bCs w:val="1"/>
          <w:rtl w:val="0"/>
        </w:rPr>
        <w:t xml:space="preserve">Biomarker Recognition:</w:t>
      </w:r>
      <w:r w:rsidDel="00000000" w:rsidR="00000000" w:rsidRPr="00000000">
        <w:rPr>
          <w:rtl w:val="0"/>
        </w:rPr>
        <w:t xml:space="preserve"> Clinicians should treat a low MaxHR in asymptomatic patients as a potential sign of autonomic neuropathy or silent ischemia.</w:t>
      </w:r>
    </w:p>
    <w:p w:rsidR="00000000" w:rsidDel="00000000" w:rsidP="00000000" w:rsidRDefault="00000000" w:rsidRPr="00000000" w14:paraId="00000147">
      <w:pPr>
        <w:rPr>
          <w:b w:val="1"/>
          <w:bCs w:val="1"/>
        </w:rPr>
      </w:pPr>
      <w:r w:rsidDel="00000000" w:rsidR="00000000" w:rsidRPr="00000000">
        <w:rPr>
          <w:b w:val="1"/>
          <w:bCs w:val="1"/>
          <w:rtl w:val="0"/>
        </w:rPr>
        <w:t xml:space="preserve">6.2 Limitations and Future Research</w:t>
      </w:r>
    </w:p>
    <w:p w:rsidR="00000000" w:rsidDel="00000000" w:rsidP="00000000" w:rsidRDefault="00000000" w:rsidRPr="00000000" w14:paraId="00000148">
      <w:pPr>
        <w:rPr/>
      </w:pPr>
      <w:r w:rsidDel="00000000" w:rsidR="00000000" w:rsidRPr="00000000">
        <w:rPr>
          <w:rtl w:val="0"/>
        </w:rPr>
        <w:t xml:space="preserve">Longitudinal studies are necessary to determine the predictive value of these patterns for long-term cardiovascular events. Future research should investigate the impact of lifestyle and pharmacologic interventions on MaxHR restoration in these specific subclinical groups.</w:t>
      </w:r>
    </w:p>
    <w:p w:rsidR="00000000" w:rsidDel="00000000" w:rsidP="00000000" w:rsidRDefault="00000000" w:rsidRPr="00000000" w14:paraId="00000149">
      <w:pPr>
        <w:rPr>
          <w:b w:val="1"/>
          <w:bCs w:val="1"/>
        </w:rPr>
      </w:pPr>
      <w:r w:rsidDel="00000000" w:rsidR="00000000" w:rsidRPr="00000000">
        <w:rPr>
          <w:b w:val="1"/>
          <w:bCs w:val="1"/>
          <w:rtl w:val="0"/>
        </w:rPr>
        <w:t xml:space="preserve">7. Conclusion</w:t>
      </w:r>
    </w:p>
    <w:p w:rsidR="00000000" w:rsidDel="00000000" w:rsidP="00000000" w:rsidRDefault="00000000" w:rsidRPr="00000000" w14:paraId="0000014A">
      <w:pPr>
        <w:rPr/>
      </w:pPr>
      <w:r w:rsidDel="00000000" w:rsidR="00000000" w:rsidRPr="00000000">
        <w:rPr>
          <w:rtl w:val="0"/>
        </w:rPr>
        <w:t xml:space="preserve">This study establishes that Maximum Heart Rate is significantly and independently influenced by Chest Pain Type, Fasting Blood Sugar, and ECG Findings. The prevalence of asymptomatic individuals with metabolic risks who exhibit reduced MaxHR and ST-T abnormalities is a critical clinical finding.</w:t>
      </w:r>
    </w:p>
    <w:p w:rsidR="00000000" w:rsidDel="00000000" w:rsidP="00000000" w:rsidRDefault="00000000" w:rsidRPr="00000000" w14:paraId="0000014B">
      <w:pPr>
        <w:rPr/>
      </w:pPr>
      <w:r w:rsidDel="00000000" w:rsidR="00000000" w:rsidRPr="00000000">
        <w:rPr>
          <w:rtl w:val="0"/>
        </w:rPr>
        <w:t xml:space="preserve">The primary takeaway is that </w:t>
      </w:r>
      <w:r w:rsidDel="00000000" w:rsidR="00000000" w:rsidRPr="00000000">
        <w:rPr>
          <w:b w:val="1"/>
          <w:bCs w:val="1"/>
          <w:rtl w:val="0"/>
        </w:rPr>
        <w:t xml:space="preserve">subclinical cardiovascular dysfunction</w:t>
      </w:r>
      <w:r w:rsidDel="00000000" w:rsidR="00000000" w:rsidRPr="00000000">
        <w:rPr>
          <w:rtl w:val="0"/>
        </w:rPr>
        <w:t xml:space="preserve"> is widespread in populations that appear healthy upon superficial examination. Reduced chronotropic competence in these individuals may reflect impaired autonomic regulation or diminished cardiac reserve. Therefore, an integrated screening paradigm involving ECG, metabolic testing, and stress assessment is essential for early detection and improved risk stratification.</w:t>
      </w:r>
    </w:p>
    <w:p w:rsidR="00000000" w:rsidDel="00000000" w:rsidP="00000000" w:rsidRDefault="00000000" w:rsidRPr="00000000" w14:paraId="0000014C">
      <w:pPr>
        <w:rPr>
          <w:b w:val="1"/>
          <w:bCs w:val="1"/>
        </w:rPr>
      </w:pPr>
      <w:r w:rsidDel="00000000" w:rsidR="00000000" w:rsidRPr="00000000">
        <w:rPr>
          <w:b w:val="1"/>
          <w:bCs w:val="1"/>
          <w:rtl w:val="0"/>
        </w:rPr>
        <w:t xml:space="preserve">8. References</w:t>
      </w:r>
    </w:p>
    <w:p w:rsidR="00000000" w:rsidDel="00000000" w:rsidP="00000000" w:rsidRDefault="00000000" w:rsidRPr="00000000" w14:paraId="0000014D">
      <w:pPr>
        <w:numPr>
          <w:ilvl w:val="0"/>
          <w:numId w:val="3"/>
        </w:numPr>
        <w:ind w:left="720" w:hanging="360"/>
        <w:rPr/>
      </w:pPr>
      <w:r w:rsidDel="00000000" w:rsidR="00000000" w:rsidRPr="00000000">
        <w:rPr>
          <w:rtl w:val="0"/>
        </w:rPr>
        <w:t xml:space="preserve">Kempf, T., &amp; Härdtner, C. (2019). The role of autonomic neuropathy in silent myocardial ischemia in patients with diabetes mellitus. </w:t>
      </w:r>
      <w:r w:rsidDel="00000000" w:rsidR="00000000" w:rsidRPr="00000000">
        <w:rPr>
          <w:i w:val="1"/>
          <w:iCs w:val="1"/>
          <w:rtl w:val="0"/>
        </w:rPr>
        <w:t xml:space="preserve">Heart Failure Reviews</w:t>
      </w:r>
      <w:r w:rsidDel="00000000" w:rsidR="00000000" w:rsidRPr="00000000">
        <w:rPr>
          <w:rtl w:val="0"/>
        </w:rPr>
        <w:t xml:space="preserve">, 24(5), 645–657. https://doi.org/10.1007/s10741-019-09802-z</w:t>
      </w:r>
    </w:p>
    <w:p w:rsidR="00000000" w:rsidDel="00000000" w:rsidP="00000000" w:rsidRDefault="00000000" w:rsidRPr="00000000" w14:paraId="0000014E">
      <w:pPr>
        <w:numPr>
          <w:ilvl w:val="0"/>
          <w:numId w:val="3"/>
        </w:numPr>
        <w:ind w:left="720" w:hanging="360"/>
        <w:rPr/>
      </w:pPr>
      <w:r w:rsidDel="00000000" w:rsidR="00000000" w:rsidRPr="00000000">
        <w:rPr>
          <w:rtl w:val="0"/>
        </w:rPr>
        <w:t xml:space="preserve">Lauer, M.S., et al. (1999). Chronotropic incompetence: causes, consequences, and management. </w:t>
      </w:r>
      <w:r w:rsidDel="00000000" w:rsidR="00000000" w:rsidRPr="00000000">
        <w:rPr>
          <w:i w:val="1"/>
          <w:iCs w:val="1"/>
          <w:rtl w:val="0"/>
        </w:rPr>
        <w:t xml:space="preserve">Circulation</w:t>
      </w:r>
      <w:r w:rsidDel="00000000" w:rsidR="00000000" w:rsidRPr="00000000">
        <w:rPr>
          <w:rtl w:val="0"/>
        </w:rPr>
        <w:t xml:space="preserve">, 99(3), 342-350. https://doi.org/10.1161/01.CIR.99.3.342</w:t>
      </w:r>
    </w:p>
    <w:p w:rsidR="00000000" w:rsidDel="00000000" w:rsidP="00000000" w:rsidRDefault="00000000" w:rsidRPr="00000000" w14:paraId="0000014F">
      <w:pPr>
        <w:numPr>
          <w:ilvl w:val="0"/>
          <w:numId w:val="3"/>
        </w:numPr>
        <w:ind w:left="720" w:hanging="360"/>
        <w:rPr/>
      </w:pPr>
      <w:r w:rsidDel="00000000" w:rsidR="00000000" w:rsidRPr="00000000">
        <w:rPr>
          <w:rtl w:val="0"/>
        </w:rPr>
        <w:t xml:space="preserve">Borchers, M., et al. (2019). Left ventricular hypertrophy: pathophysiology, clinical consequences and diagnostic evaluation. </w:t>
      </w:r>
      <w:r w:rsidDel="00000000" w:rsidR="00000000" w:rsidRPr="00000000">
        <w:rPr>
          <w:i w:val="1"/>
          <w:iCs w:val="1"/>
          <w:rtl w:val="0"/>
        </w:rPr>
        <w:t xml:space="preserve">Journal of Clinical Medicine</w:t>
      </w:r>
      <w:r w:rsidDel="00000000" w:rsidR="00000000" w:rsidRPr="00000000">
        <w:rPr>
          <w:rtl w:val="0"/>
        </w:rPr>
        <w:t xml:space="preserve">, 8(12), 2033. https://doi.org/10.3390/jcm8122033</w:t>
      </w:r>
    </w:p>
    <w:p w:rsidR="00000000" w:rsidDel="00000000" w:rsidP="00000000" w:rsidRDefault="00000000" w:rsidRPr="00000000" w14:paraId="00000150">
      <w:pPr>
        <w:numPr>
          <w:ilvl w:val="0"/>
          <w:numId w:val="3"/>
        </w:numPr>
        <w:ind w:left="720" w:hanging="360"/>
        <w:rPr/>
      </w:pPr>
      <w:r w:rsidDel="00000000" w:rsidR="00000000" w:rsidRPr="00000000">
        <w:rPr>
          <w:rtl w:val="0"/>
        </w:rPr>
        <w:t xml:space="preserve">Chaitman, B.R. (2010). Silent ischemia: mechanisms and clinical implications. </w:t>
      </w:r>
      <w:r w:rsidDel="00000000" w:rsidR="00000000" w:rsidRPr="00000000">
        <w:rPr>
          <w:i w:val="1"/>
          <w:iCs w:val="1"/>
          <w:rtl w:val="0"/>
        </w:rPr>
        <w:t xml:space="preserve">American Journal of Medicine</w:t>
      </w:r>
      <w:r w:rsidDel="00000000" w:rsidR="00000000" w:rsidRPr="00000000">
        <w:rPr>
          <w:rtl w:val="0"/>
        </w:rPr>
        <w:t xml:space="preserve">, 123(11), 973-981. https://doi.org/10.1016/j.amjmed.2010.06.009</w:t>
      </w:r>
    </w:p>
    <w:p w:rsidR="00000000" w:rsidDel="00000000" w:rsidP="00000000" w:rsidRDefault="00000000" w:rsidRPr="00000000" w14:paraId="00000151">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Merriweather ExtraBold">
    <w:embedBold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erriweatherExtraBold-bold.ttf"/><Relationship Id="rId4" Type="http://schemas.openxmlformats.org/officeDocument/2006/relationships/font" Target="fonts/Merriweather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