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AfriMarket — Résumé Exécutif</w:t>
      </w:r>
    </w:p>
    <w:p>
      <w:pPr>
        <w:jc w:val="center"/>
      </w:pPr>
      <w:r>
        <w:rPr>
          <w:b w:val="0"/>
          <w:i/>
        </w:rPr>
        <w:t>Analyse stratégique de 6 mois d'activité (juillet – décembre 2025)</w:t>
      </w:r>
    </w:p>
    <w:p/>
    <w:p>
      <w:r>
        <w:rPr>
          <w:b w:val="0"/>
          <w:i w:val="0"/>
        </w:rPr>
        <w:t>AfriMarket est une entreprise e-commerce panafricaine active dans 8 villes et 4 catégories (Électronique, Mode, Beauté, Maison). Cette analyse porte sur 10 100 commandes brutes, réduites à 9 400 commandes valides après nettoyage (suppression de 100 doublons stricts et de 600 commandes à quantité nulle ; correction des villes, catégories, statuts et valeurs aberrantes). Le dataset ne fournissant pas de coût produit, la marge brute est estimée via des taux de marge par catégorie (hypothèse documentée dans le notebook d'analyse). Les recommandations ci-dessous sont directement actionnables par la direction.</w:t>
      </w:r>
    </w:p>
    <w:p>
      <w:pPr>
        <w:pStyle w:val="Heading1"/>
      </w:pPr>
      <w:r>
        <w:t>1. Performance globale</w:t>
      </w:r>
    </w:p>
    <w:tbl>
      <w:tblPr>
        <w:tblStyle w:val="LightGrid-Accent1"/>
        <w:tblW w:type="auto" w:w="0"/>
        <w:tblLook w:firstColumn="1" w:firstRow="1" w:lastColumn="0" w:lastRow="0" w:noHBand="0" w:noVBand="1" w:val="04A0"/>
      </w:tblPr>
      <w:tblGrid>
        <w:gridCol w:w="4873"/>
        <w:gridCol w:w="4873"/>
      </w:tblGrid>
      <w:tr>
        <w:tc>
          <w:tcPr>
            <w:tcW w:type="dxa" w:w="4873"/>
          </w:tcPr>
          <w:p>
            <w:r>
              <w:rPr>
                <w:b/>
              </w:rPr>
              <w:t>Indicateur</w:t>
            </w:r>
          </w:p>
        </w:tc>
        <w:tc>
          <w:tcPr>
            <w:tcW w:type="dxa" w:w="4873"/>
          </w:tcPr>
          <w:p>
            <w:r>
              <w:rPr>
                <w:b/>
              </w:rPr>
              <w:t>Valeur</w:t>
            </w:r>
          </w:p>
        </w:tc>
      </w:tr>
      <w:tr>
        <w:tc>
          <w:tcPr>
            <w:tcW w:type="dxa" w:w="4873"/>
          </w:tcPr>
          <w:p>
            <w:r>
              <w:t>Chiffre d'affaires total</w:t>
            </w:r>
          </w:p>
        </w:tc>
        <w:tc>
          <w:tcPr>
            <w:tcW w:type="dxa" w:w="4873"/>
          </w:tcPr>
          <w:p>
            <w:r>
              <w:t>2 500 434</w:t>
            </w:r>
          </w:p>
        </w:tc>
      </w:tr>
      <w:tr>
        <w:tc>
          <w:tcPr>
            <w:tcW w:type="dxa" w:w="4873"/>
          </w:tcPr>
          <w:p>
            <w:r>
              <w:t>Profit net estimé</w:t>
            </w:r>
          </w:p>
        </w:tc>
        <w:tc>
          <w:tcPr>
            <w:tcW w:type="dxa" w:w="4873"/>
          </w:tcPr>
          <w:p>
            <w:r>
              <w:t>410 380</w:t>
            </w:r>
          </w:p>
        </w:tc>
      </w:tr>
      <w:tr>
        <w:tc>
          <w:tcPr>
            <w:tcW w:type="dxa" w:w="4873"/>
          </w:tcPr>
          <w:p>
            <w:r>
              <w:t>Panier moyen</w:t>
            </w:r>
          </w:p>
        </w:tc>
        <w:tc>
          <w:tcPr>
            <w:tcW w:type="dxa" w:w="4873"/>
          </w:tcPr>
          <w:p>
            <w:r>
              <w:t>271</w:t>
            </w:r>
          </w:p>
        </w:tc>
      </w:tr>
      <w:tr>
        <w:tc>
          <w:tcPr>
            <w:tcW w:type="dxa" w:w="4873"/>
          </w:tcPr>
          <w:p>
            <w:r>
              <w:t>Taux d'annulation</w:t>
            </w:r>
          </w:p>
        </w:tc>
        <w:tc>
          <w:tcPr>
            <w:tcW w:type="dxa" w:w="4873"/>
          </w:tcPr>
          <w:p>
            <w:r>
              <w:t>1,9 %</w:t>
            </w:r>
          </w:p>
        </w:tc>
      </w:tr>
      <w:tr>
        <w:tc>
          <w:tcPr>
            <w:tcW w:type="dxa" w:w="4873"/>
          </w:tcPr>
          <w:p>
            <w:r>
              <w:t>Taux de retour</w:t>
            </w:r>
          </w:p>
        </w:tc>
        <w:tc>
          <w:tcPr>
            <w:tcW w:type="dxa" w:w="4873"/>
          </w:tcPr>
          <w:p>
            <w:r>
              <w:t>8,1 %</w:t>
            </w:r>
          </w:p>
        </w:tc>
      </w:tr>
      <w:tr>
        <w:tc>
          <w:tcPr>
            <w:tcW w:type="dxa" w:w="4873"/>
          </w:tcPr>
          <w:p>
            <w:r>
              <w:t>Clients actifs</w:t>
            </w:r>
          </w:p>
        </w:tc>
        <w:tc>
          <w:tcPr>
            <w:tcW w:type="dxa" w:w="4873"/>
          </w:tcPr>
          <w:p>
            <w:r>
              <w:t>1 747 (74 % récurrents)</w:t>
            </w:r>
          </w:p>
        </w:tc>
      </w:tr>
    </w:tbl>
    <w:p/>
    <w:p>
      <w:r>
        <w:rPr>
          <w:b w:val="0"/>
          <w:i w:val="0"/>
        </w:rPr>
        <w:t>Le CA mensuel est globalement stable (entre 397 k et 462 k), avec un pic en décembre — cohérent avec un effet saisonnier de fin d'année. Le profit net (410 k) reste nettement inférieur à la marge brute totale (536 k), signe que les coûts marketing et logistiques absorbent une part significative de la rentabilité.</w:t>
      </w:r>
    </w:p>
    <w:p>
      <w:pPr>
        <w:pStyle w:val="Heading1"/>
      </w:pPr>
      <w:r>
        <w:t>2. Analyse par catégorie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Pr>
                <w:b/>
              </w:rPr>
              <w:t>Catégorie</w:t>
            </w:r>
          </w:p>
        </w:tc>
        <w:tc>
          <w:tcPr>
            <w:tcW w:type="dxa" w:w="1949"/>
          </w:tcPr>
          <w:p>
            <w:r>
              <w:rPr>
                <w:b/>
              </w:rPr>
              <w:t>CA</w:t>
            </w:r>
          </w:p>
        </w:tc>
        <w:tc>
          <w:tcPr>
            <w:tcW w:type="dxa" w:w="1949"/>
          </w:tcPr>
          <w:p>
            <w:r>
              <w:rPr>
                <w:b/>
              </w:rPr>
              <w:t>% du CA</w:t>
            </w:r>
          </w:p>
        </w:tc>
        <w:tc>
          <w:tcPr>
            <w:tcW w:type="dxa" w:w="1949"/>
          </w:tcPr>
          <w:p>
            <w:r>
              <w:rPr>
                <w:b/>
              </w:rPr>
              <w:t>Marge brute</w:t>
            </w:r>
          </w:p>
        </w:tc>
        <w:tc>
          <w:tcPr>
            <w:tcW w:type="dxa" w:w="1949"/>
          </w:tcPr>
          <w:p>
            <w:r>
              <w:rPr>
                <w:b/>
              </w:rPr>
              <w:t>Taux de retour</w:t>
            </w:r>
          </w:p>
        </w:tc>
      </w:tr>
      <w:tr>
        <w:tc>
          <w:tcPr>
            <w:tcW w:type="dxa" w:w="1949"/>
          </w:tcPr>
          <w:p>
            <w:r>
              <w:t>Électronique</w:t>
            </w:r>
          </w:p>
        </w:tc>
        <w:tc>
          <w:tcPr>
            <w:tcW w:type="dxa" w:w="1949"/>
          </w:tcPr>
          <w:p>
            <w:r>
              <w:t>1 863 469</w:t>
            </w:r>
          </w:p>
        </w:tc>
        <w:tc>
          <w:tcPr>
            <w:tcW w:type="dxa" w:w="1949"/>
          </w:tcPr>
          <w:p>
            <w:r>
              <w:t>75 %</w:t>
            </w:r>
          </w:p>
        </w:tc>
        <w:tc>
          <w:tcPr>
            <w:tcW w:type="dxa" w:w="1949"/>
          </w:tcPr>
          <w:p>
            <w:r>
              <w:t>15 %</w:t>
            </w:r>
          </w:p>
        </w:tc>
        <w:tc>
          <w:tcPr>
            <w:tcW w:type="dxa" w:w="1949"/>
          </w:tcPr>
          <w:p>
            <w:r>
              <w:t>14 %</w:t>
            </w:r>
          </w:p>
        </w:tc>
      </w:tr>
      <w:tr>
        <w:tc>
          <w:tcPr>
            <w:tcW w:type="dxa" w:w="1949"/>
          </w:tcPr>
          <w:p>
            <w:r>
              <w:t>Maison</w:t>
            </w:r>
          </w:p>
        </w:tc>
        <w:tc>
          <w:tcPr>
            <w:tcW w:type="dxa" w:w="1949"/>
          </w:tcPr>
          <w:p>
            <w:r>
              <w:t>374 630</w:t>
            </w:r>
          </w:p>
        </w:tc>
        <w:tc>
          <w:tcPr>
            <w:tcW w:type="dxa" w:w="1949"/>
          </w:tcPr>
          <w:p>
            <w:r>
              <w:t>15 %</w:t>
            </w:r>
          </w:p>
        </w:tc>
        <w:tc>
          <w:tcPr>
            <w:tcW w:type="dxa" w:w="1949"/>
          </w:tcPr>
          <w:p>
            <w:r>
              <w:t>35 %</w:t>
            </w:r>
          </w:p>
        </w:tc>
        <w:tc>
          <w:tcPr>
            <w:tcW w:type="dxa" w:w="1949"/>
          </w:tcPr>
          <w:p>
            <w:r>
              <w:t>5 %</w:t>
            </w:r>
          </w:p>
        </w:tc>
      </w:tr>
      <w:tr>
        <w:tc>
          <w:tcPr>
            <w:tcW w:type="dxa" w:w="1949"/>
          </w:tcPr>
          <w:p>
            <w:r>
              <w:t>Mode</w:t>
            </w:r>
          </w:p>
        </w:tc>
        <w:tc>
          <w:tcPr>
            <w:tcW w:type="dxa" w:w="1949"/>
          </w:tcPr>
          <w:p>
            <w:r>
              <w:t>185 939</w:t>
            </w:r>
          </w:p>
        </w:tc>
        <w:tc>
          <w:tcPr>
            <w:tcW w:type="dxa" w:w="1949"/>
          </w:tcPr>
          <w:p>
            <w:r>
              <w:t>7 %</w:t>
            </w:r>
          </w:p>
        </w:tc>
        <w:tc>
          <w:tcPr>
            <w:tcW w:type="dxa" w:w="1949"/>
          </w:tcPr>
          <w:p>
            <w:r>
              <w:t>45 %</w:t>
            </w:r>
          </w:p>
        </w:tc>
        <w:tc>
          <w:tcPr>
            <w:tcW w:type="dxa" w:w="1949"/>
          </w:tcPr>
          <w:p>
            <w:r>
              <w:t>7 %</w:t>
            </w:r>
          </w:p>
        </w:tc>
      </w:tr>
      <w:tr>
        <w:tc>
          <w:tcPr>
            <w:tcW w:type="dxa" w:w="1949"/>
          </w:tcPr>
          <w:p>
            <w:r>
              <w:t>Beauté</w:t>
            </w:r>
          </w:p>
        </w:tc>
        <w:tc>
          <w:tcPr>
            <w:tcW w:type="dxa" w:w="1949"/>
          </w:tcPr>
          <w:p>
            <w:r>
              <w:t>76 396</w:t>
            </w:r>
          </w:p>
        </w:tc>
        <w:tc>
          <w:tcPr>
            <w:tcW w:type="dxa" w:w="1949"/>
          </w:tcPr>
          <w:p>
            <w:r>
              <w:t>3 %</w:t>
            </w:r>
          </w:p>
        </w:tc>
        <w:tc>
          <w:tcPr>
            <w:tcW w:type="dxa" w:w="1949"/>
          </w:tcPr>
          <w:p>
            <w:r>
              <w:t>55 %</w:t>
            </w:r>
          </w:p>
        </w:tc>
        <w:tc>
          <w:tcPr>
            <w:tcW w:type="dxa" w:w="1949"/>
          </w:tcPr>
          <w:p>
            <w:r>
              <w:t>3 %</w:t>
            </w:r>
          </w:p>
        </w:tc>
      </w:tr>
    </w:tbl>
    <w:p/>
    <w:p>
      <w:r>
        <w:rPr>
          <w:b/>
          <w:i w:val="0"/>
        </w:rPr>
        <w:t>Question stratégique : quelle catégorie prioriser ?</w:t>
      </w:r>
    </w:p>
    <w:p>
      <w:r>
        <w:rPr>
          <w:b w:val="0"/>
          <w:i w:val="0"/>
        </w:rPr>
        <w:t>Électronique génère 75 % du CA mais concentre le risque : marge la plus faible du portefeuille (15 %) et taux de retour le plus élevé (14 %, près du double de la moyenne). Cette catégorie doit être optimisée (qualité produit, réduction des retours) avant d'être davantage développée. Maison, à l'inverse, combine une marge élevée (35 %), un faible taux de retour (5 %) et une forte dynamique : son CA a quasiment doublé entre octobre et décembre (45 k → 101 k). C'est la catégorie à prioriser pour la croissance.</w:t>
      </w:r>
    </w:p>
    <w:p>
      <w:pPr>
        <w:pStyle w:val="Heading1"/>
      </w:pPr>
      <w:r>
        <w:t>3. Analyse géographique</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rPr>
              <w:t>Ville</w:t>
            </w:r>
          </w:p>
        </w:tc>
        <w:tc>
          <w:tcPr>
            <w:tcW w:type="dxa" w:w="2436"/>
          </w:tcPr>
          <w:p>
            <w:r>
              <w:rPr>
                <w:b/>
              </w:rPr>
              <w:t>CA</w:t>
            </w:r>
          </w:p>
        </w:tc>
        <w:tc>
          <w:tcPr>
            <w:tcW w:type="dxa" w:w="2436"/>
          </w:tcPr>
          <w:p>
            <w:r>
              <w:rPr>
                <w:b/>
              </w:rPr>
              <w:t>Profit</w:t>
            </w:r>
          </w:p>
        </w:tc>
        <w:tc>
          <w:tcPr>
            <w:tcW w:type="dxa" w:w="2436"/>
          </w:tcPr>
          <w:p>
            <w:r>
              <w:rPr>
                <w:b/>
              </w:rPr>
              <w:t>Taux d'annulation</w:t>
            </w:r>
          </w:p>
        </w:tc>
      </w:tr>
      <w:tr>
        <w:tc>
          <w:tcPr>
            <w:tcW w:type="dxa" w:w="2436"/>
          </w:tcPr>
          <w:p>
            <w:r>
              <w:t>Kinshasa</w:t>
            </w:r>
          </w:p>
        </w:tc>
        <w:tc>
          <w:tcPr>
            <w:tcW w:type="dxa" w:w="2436"/>
          </w:tcPr>
          <w:p>
            <w:r>
              <w:t>753 603</w:t>
            </w:r>
          </w:p>
        </w:tc>
        <w:tc>
          <w:tcPr>
            <w:tcW w:type="dxa" w:w="2436"/>
          </w:tcPr>
          <w:p>
            <w:r>
              <w:t>124 173</w:t>
            </w:r>
          </w:p>
        </w:tc>
        <w:tc>
          <w:tcPr>
            <w:tcW w:type="dxa" w:w="2436"/>
          </w:tcPr>
          <w:p>
            <w:r>
              <w:t>0 %</w:t>
            </w:r>
          </w:p>
        </w:tc>
      </w:tr>
      <w:tr>
        <w:tc>
          <w:tcPr>
            <w:tcW w:type="dxa" w:w="2436"/>
          </w:tcPr>
          <w:p>
            <w:r>
              <w:t>Abidjan</w:t>
            </w:r>
          </w:p>
        </w:tc>
        <w:tc>
          <w:tcPr>
            <w:tcW w:type="dxa" w:w="2436"/>
          </w:tcPr>
          <w:p>
            <w:r>
              <w:t>498 891</w:t>
            </w:r>
          </w:p>
        </w:tc>
        <w:tc>
          <w:tcPr>
            <w:tcW w:type="dxa" w:w="2436"/>
          </w:tcPr>
          <w:p>
            <w:r>
              <w:t>81 420</w:t>
            </w:r>
          </w:p>
        </w:tc>
        <w:tc>
          <w:tcPr>
            <w:tcW w:type="dxa" w:w="2436"/>
          </w:tcPr>
          <w:p>
            <w:r>
              <w:t>0 %</w:t>
            </w:r>
          </w:p>
        </w:tc>
      </w:tr>
      <w:tr>
        <w:tc>
          <w:tcPr>
            <w:tcW w:type="dxa" w:w="2436"/>
          </w:tcPr>
          <w:p>
            <w:r>
              <w:t>Dakar</w:t>
            </w:r>
          </w:p>
        </w:tc>
        <w:tc>
          <w:tcPr>
            <w:tcW w:type="dxa" w:w="2436"/>
          </w:tcPr>
          <w:p>
            <w:r>
              <w:t>347 078</w:t>
            </w:r>
          </w:p>
        </w:tc>
        <w:tc>
          <w:tcPr>
            <w:tcW w:type="dxa" w:w="2436"/>
          </w:tcPr>
          <w:p>
            <w:r>
              <w:t>58 166</w:t>
            </w:r>
          </w:p>
        </w:tc>
        <w:tc>
          <w:tcPr>
            <w:tcW w:type="dxa" w:w="2436"/>
          </w:tcPr>
          <w:p>
            <w:r>
              <w:t>0 %</w:t>
            </w:r>
          </w:p>
        </w:tc>
      </w:tr>
      <w:tr>
        <w:tc>
          <w:tcPr>
            <w:tcW w:type="dxa" w:w="2436"/>
          </w:tcPr>
          <w:p>
            <w:r>
              <w:t>Douala</w:t>
            </w:r>
          </w:p>
        </w:tc>
        <w:tc>
          <w:tcPr>
            <w:tcW w:type="dxa" w:w="2436"/>
          </w:tcPr>
          <w:p>
            <w:r>
              <w:t>327 934</w:t>
            </w:r>
          </w:p>
        </w:tc>
        <w:tc>
          <w:tcPr>
            <w:tcW w:type="dxa" w:w="2436"/>
          </w:tcPr>
          <w:p>
            <w:r>
              <w:t>51 855</w:t>
            </w:r>
          </w:p>
        </w:tc>
        <w:tc>
          <w:tcPr>
            <w:tcW w:type="dxa" w:w="2436"/>
          </w:tcPr>
          <w:p>
            <w:r>
              <w:t>13 %</w:t>
            </w:r>
          </w:p>
        </w:tc>
      </w:tr>
      <w:tr>
        <w:tc>
          <w:tcPr>
            <w:tcW w:type="dxa" w:w="2436"/>
          </w:tcPr>
          <w:p>
            <w:r>
              <w:t>Lomé</w:t>
            </w:r>
          </w:p>
        </w:tc>
        <w:tc>
          <w:tcPr>
            <w:tcW w:type="dxa" w:w="2436"/>
          </w:tcPr>
          <w:p>
            <w:r>
              <w:t>183 823</w:t>
            </w:r>
          </w:p>
        </w:tc>
        <w:tc>
          <w:tcPr>
            <w:tcW w:type="dxa" w:w="2436"/>
          </w:tcPr>
          <w:p>
            <w:r>
              <w:t>30 537</w:t>
            </w:r>
          </w:p>
        </w:tc>
        <w:tc>
          <w:tcPr>
            <w:tcW w:type="dxa" w:w="2436"/>
          </w:tcPr>
          <w:p>
            <w:r>
              <w:t>0 %</w:t>
            </w:r>
          </w:p>
        </w:tc>
      </w:tr>
      <w:tr>
        <w:tc>
          <w:tcPr>
            <w:tcW w:type="dxa" w:w="2436"/>
          </w:tcPr>
          <w:p>
            <w:r>
              <w:t>Cotonou</w:t>
            </w:r>
          </w:p>
        </w:tc>
        <w:tc>
          <w:tcPr>
            <w:tcW w:type="dxa" w:w="2436"/>
          </w:tcPr>
          <w:p>
            <w:r>
              <w:t>159 013</w:t>
            </w:r>
          </w:p>
        </w:tc>
        <w:tc>
          <w:tcPr>
            <w:tcW w:type="dxa" w:w="2436"/>
          </w:tcPr>
          <w:p>
            <w:r>
              <w:t>26 650</w:t>
            </w:r>
          </w:p>
        </w:tc>
        <w:tc>
          <w:tcPr>
            <w:tcW w:type="dxa" w:w="2436"/>
          </w:tcPr>
          <w:p>
            <w:r>
              <w:t>0 %</w:t>
            </w:r>
          </w:p>
        </w:tc>
      </w:tr>
      <w:tr>
        <w:tc>
          <w:tcPr>
            <w:tcW w:type="dxa" w:w="2436"/>
          </w:tcPr>
          <w:p>
            <w:r>
              <w:t>Libreville</w:t>
            </w:r>
          </w:p>
        </w:tc>
        <w:tc>
          <w:tcPr>
            <w:tcW w:type="dxa" w:w="2436"/>
          </w:tcPr>
          <w:p>
            <w:r>
              <w:t>123 648</w:t>
            </w:r>
          </w:p>
        </w:tc>
        <w:tc>
          <w:tcPr>
            <w:tcW w:type="dxa" w:w="2436"/>
          </w:tcPr>
          <w:p>
            <w:r>
              <w:t>20 348</w:t>
            </w:r>
          </w:p>
        </w:tc>
        <w:tc>
          <w:tcPr>
            <w:tcW w:type="dxa" w:w="2436"/>
          </w:tcPr>
          <w:p>
            <w:r>
              <w:t>0 %</w:t>
            </w:r>
          </w:p>
        </w:tc>
      </w:tr>
      <w:tr>
        <w:tc>
          <w:tcPr>
            <w:tcW w:type="dxa" w:w="2436"/>
          </w:tcPr>
          <w:p>
            <w:r>
              <w:t>Brazzaville</w:t>
            </w:r>
          </w:p>
        </w:tc>
        <w:tc>
          <w:tcPr>
            <w:tcW w:type="dxa" w:w="2436"/>
          </w:tcPr>
          <w:p>
            <w:r>
              <w:t>106 442</w:t>
            </w:r>
          </w:p>
        </w:tc>
        <w:tc>
          <w:tcPr>
            <w:tcW w:type="dxa" w:w="2436"/>
          </w:tcPr>
          <w:p>
            <w:r>
              <w:t>17 230</w:t>
            </w:r>
          </w:p>
        </w:tc>
        <w:tc>
          <w:tcPr>
            <w:tcW w:type="dxa" w:w="2436"/>
          </w:tcPr>
          <w:p>
            <w:r>
              <w:t>0 %</w:t>
            </w:r>
          </w:p>
        </w:tc>
      </w:tr>
    </w:tbl>
    <w:p/>
    <w:p>
      <w:r>
        <w:rPr>
          <w:b/>
          <w:i w:val="0"/>
        </w:rPr>
        <w:t>Question stratégique : où investir davantage ?</w:t>
      </w:r>
    </w:p>
    <w:p>
      <w:r>
        <w:rPr>
          <w:b w:val="0"/>
          <w:i w:val="0"/>
        </w:rPr>
        <w:t>Kinshasa (30 % du CA) et Abidjan sont les marchés les plus sains : CA élevé, profit fort, et 0 % d'annulation — ce sont les marchés à renforcer en priorité. Douala présente une anomalie majeure : un taux d'annulation de 13 %, stable chaque mois (11 % à 15 %) alors qu'il est nul partout ailleurs. Ce n'est pas un problème de demande commerciale mais un signal opérationnel localisé (paiement, livraison ou stock) à corriger avant tout arbitrage d'investissement sur cette ville.</w:t>
      </w:r>
    </w:p>
    <w:p>
      <w:pPr>
        <w:pStyle w:val="Heading1"/>
      </w:pPr>
      <w:r>
        <w:t>4. Analyse marketing</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Pr>
                <w:b/>
              </w:rPr>
              <w:t>Canal</w:t>
            </w:r>
          </w:p>
        </w:tc>
        <w:tc>
          <w:tcPr>
            <w:tcW w:type="dxa" w:w="1949"/>
          </w:tcPr>
          <w:p>
            <w:r>
              <w:rPr>
                <w:b/>
              </w:rPr>
              <w:t>CA</w:t>
            </w:r>
          </w:p>
        </w:tc>
        <w:tc>
          <w:tcPr>
            <w:tcW w:type="dxa" w:w="1949"/>
          </w:tcPr>
          <w:p>
            <w:r>
              <w:rPr>
                <w:b/>
              </w:rPr>
              <w:t>Coût marketing</w:t>
            </w:r>
          </w:p>
        </w:tc>
        <w:tc>
          <w:tcPr>
            <w:tcW w:type="dxa" w:w="1949"/>
          </w:tcPr>
          <w:p>
            <w:r>
              <w:rPr>
                <w:b/>
              </w:rPr>
              <w:t>ROI</w:t>
            </w:r>
          </w:p>
        </w:tc>
        <w:tc>
          <w:tcPr>
            <w:tcW w:type="dxa" w:w="1949"/>
          </w:tcPr>
          <w:p>
            <w:r>
              <w:rPr>
                <w:b/>
              </w:rPr>
              <w:t>Taux de rétention</w:t>
            </w:r>
          </w:p>
        </w:tc>
      </w:tr>
      <w:tr>
        <w:tc>
          <w:tcPr>
            <w:tcW w:type="dxa" w:w="1949"/>
          </w:tcPr>
          <w:p>
            <w:r>
              <w:t>Email</w:t>
            </w:r>
          </w:p>
        </w:tc>
        <w:tc>
          <w:tcPr>
            <w:tcW w:type="dxa" w:w="1949"/>
          </w:tcPr>
          <w:p>
            <w:r>
              <w:t>529 201</w:t>
            </w:r>
          </w:p>
        </w:tc>
        <w:tc>
          <w:tcPr>
            <w:tcW w:type="dxa" w:w="1949"/>
          </w:tcPr>
          <w:p>
            <w:r>
              <w:t>2 349</w:t>
            </w:r>
          </w:p>
        </w:tc>
        <w:tc>
          <w:tcPr>
            <w:tcW w:type="dxa" w:w="1949"/>
          </w:tcPr>
          <w:p>
            <w:r>
              <w:t>224</w:t>
            </w:r>
          </w:p>
        </w:tc>
        <w:tc>
          <w:tcPr>
            <w:tcW w:type="dxa" w:w="1949"/>
          </w:tcPr>
          <w:p>
            <w:r>
              <w:t>95 %</w:t>
            </w:r>
          </w:p>
        </w:tc>
      </w:tr>
      <w:tr>
        <w:tc>
          <w:tcPr>
            <w:tcW w:type="dxa" w:w="1949"/>
          </w:tcPr>
          <w:p>
            <w:r>
              <w:t>Google Ads</w:t>
            </w:r>
          </w:p>
        </w:tc>
        <w:tc>
          <w:tcPr>
            <w:tcW w:type="dxa" w:w="1949"/>
          </w:tcPr>
          <w:p>
            <w:r>
              <w:t>663 809</w:t>
            </w:r>
          </w:p>
        </w:tc>
        <w:tc>
          <w:tcPr>
            <w:tcW w:type="dxa" w:w="1949"/>
          </w:tcPr>
          <w:p>
            <w:r>
              <w:t>13 159</w:t>
            </w:r>
          </w:p>
        </w:tc>
        <w:tc>
          <w:tcPr>
            <w:tcW w:type="dxa" w:w="1949"/>
          </w:tcPr>
          <w:p>
            <w:r>
              <w:t>49</w:t>
            </w:r>
          </w:p>
        </w:tc>
        <w:tc>
          <w:tcPr>
            <w:tcW w:type="dxa" w:w="1949"/>
          </w:tcPr>
          <w:p>
            <w:r>
              <w:t>96 %</w:t>
            </w:r>
          </w:p>
        </w:tc>
      </w:tr>
      <w:tr>
        <w:tc>
          <w:tcPr>
            <w:tcW w:type="dxa" w:w="1949"/>
          </w:tcPr>
          <w:p>
            <w:r>
              <w:t>Instagram Ads</w:t>
            </w:r>
          </w:p>
        </w:tc>
        <w:tc>
          <w:tcPr>
            <w:tcW w:type="dxa" w:w="1949"/>
          </w:tcPr>
          <w:p>
            <w:r>
              <w:t>947 692</w:t>
            </w:r>
          </w:p>
        </w:tc>
        <w:tc>
          <w:tcPr>
            <w:tcW w:type="dxa" w:w="1949"/>
          </w:tcPr>
          <w:p>
            <w:r>
              <w:t>37 637</w:t>
            </w:r>
          </w:p>
        </w:tc>
        <w:tc>
          <w:tcPr>
            <w:tcW w:type="dxa" w:w="1949"/>
          </w:tcPr>
          <w:p>
            <w:r>
              <w:t>24</w:t>
            </w:r>
          </w:p>
        </w:tc>
        <w:tc>
          <w:tcPr>
            <w:tcW w:type="dxa" w:w="1949"/>
          </w:tcPr>
          <w:p>
            <w:r>
              <w:t>95 %</w:t>
            </w:r>
          </w:p>
        </w:tc>
      </w:tr>
      <w:tr>
        <w:tc>
          <w:tcPr>
            <w:tcW w:type="dxa" w:w="1949"/>
          </w:tcPr>
          <w:p>
            <w:r>
              <w:t>Influenceur</w:t>
            </w:r>
          </w:p>
        </w:tc>
        <w:tc>
          <w:tcPr>
            <w:tcW w:type="dxa" w:w="1949"/>
          </w:tcPr>
          <w:p>
            <w:r>
              <w:t>359 733</w:t>
            </w:r>
          </w:p>
        </w:tc>
        <w:tc>
          <w:tcPr>
            <w:tcW w:type="dxa" w:w="1949"/>
          </w:tcPr>
          <w:p>
            <w:r>
              <w:t>16 360</w:t>
            </w:r>
          </w:p>
        </w:tc>
        <w:tc>
          <w:tcPr>
            <w:tcW w:type="dxa" w:w="1949"/>
          </w:tcPr>
          <w:p>
            <w:r>
              <w:t>21</w:t>
            </w:r>
          </w:p>
        </w:tc>
        <w:tc>
          <w:tcPr>
            <w:tcW w:type="dxa" w:w="1949"/>
          </w:tcPr>
          <w:p>
            <w:r>
              <w:t>95 %</w:t>
            </w:r>
          </w:p>
        </w:tc>
      </w:tr>
    </w:tbl>
    <w:p/>
    <w:p>
      <w:r>
        <w:rPr>
          <w:b/>
          <w:i w:val="0"/>
        </w:rPr>
        <w:t>Question stratégique : quel canal renforcer ou réduire ?</w:t>
      </w:r>
    </w:p>
    <w:p>
      <w:r>
        <w:rPr>
          <w:b w:val="0"/>
          <w:i w:val="0"/>
        </w:rPr>
        <w:t>Email est de très loin le canal le plus rentable (ROI de 224 pour un coût quasi nul) mais reste sous-exploité en volume : c'est le principal levier de croissance rentable à activer. Instagram Ads génère le plus de CA en valeur absolue mais avec un ROI nettement plus faible (24) : à optimiser (ciblage, coût d'acquisition) plutôt qu'à simplement augmenter en budget. Influenceur affiche le ROI le plus bas pour un coût élevé — un candidat clair à réduire ou renégocier.</w:t>
      </w:r>
    </w:p>
    <w:p>
      <w:pPr>
        <w:pStyle w:val="Heading1"/>
      </w:pPr>
      <w:r>
        <w:t>5. Analyse clients</w:t>
      </w:r>
    </w:p>
    <w:p>
      <w:r>
        <w:rPr>
          <w:b w:val="0"/>
          <w:i w:val="0"/>
        </w:rPr>
        <w:t>1 747 clients actifs, dont 74 % récurrents — un socle de fidélité globalement sain. La valeur est toutefois très concentrée : 31,6 % des clients génèrent 80 % du CA (Pareto), et le top 10 % des clients représente 40,2 % du CA. La segmentation par valeur vie client révèle un écart considérable entre segments : CLV moyenne de 79 pour le segment Occasionnel contre 4 149 pour le segment VIP (jusqu'à 11 553 pour les meilleurs clients), soit un rapport de 1 à 53.</w:t>
      </w:r>
    </w:p>
    <w:p>
      <w:r>
        <w:rPr>
          <w:b/>
          <w:i w:val="0"/>
        </w:rPr>
        <w:t>Question stratégique : comment améliorer la rétention ?</w:t>
      </w:r>
    </w:p>
    <w:p>
      <w:r>
        <w:rPr>
          <w:b w:val="0"/>
          <w:i w:val="0"/>
        </w:rPr>
        <w:t>La priorité n'est pas d'acquérir davantage de clients, mais de sécuriser et faire progresser les segments à forte valeur (Fidèle et VIP) via un programme de fidélisation ciblé, en s'appuyant sur le canal Email — déjà le plus rentable et le mieux retenu du portefeuille marketing.</w:t>
      </w:r>
    </w:p>
    <w:p>
      <w:pPr>
        <w:pStyle w:val="Heading1"/>
      </w:pPr>
      <w:r>
        <w:t>6. Cinq recommandations stratégiques</w:t>
      </w:r>
    </w:p>
    <w:p>
      <w:pPr>
        <w:pStyle w:val="ListNumber"/>
      </w:pPr>
      <w:r>
        <w:t>Plan qualité sur Électronique : auditer les causes de retour par produit et renforcer le contrôle qualité avant expédition, pour ramener le taux de retour de 14 % vers 5-7 % sans perdre de CA sur la catégorie qui pèse 75 % du chiffre d'affaires.</w:t>
      </w:r>
    </w:p>
    <w:p>
      <w:pPr>
        <w:pStyle w:val="ListNumber"/>
      </w:pPr>
      <w:r>
        <w:t>Investigation opérationnelle immédiate à Douala : le taux d'annulation de 13 %, stable sur les 6 mois, signale un problème structurel (paiement, livreur, stock) à résoudre avant tout investissement marketing supplémentaire sur cette ville.</w:t>
      </w:r>
    </w:p>
    <w:p>
      <w:pPr>
        <w:pStyle w:val="ListNumber"/>
      </w:pPr>
      <w:r>
        <w:t>Accélérer sur Maison, Kinshasa et Abidjan : ce sont les combinaisons catégorie/ville qui affichent à la fois une marge saine, un faible taux de risque et une dynamique de croissance confirmée sur les derniers mois — prioritaires pour l'allocation de budget.</w:t>
      </w:r>
    </w:p>
    <w:p>
      <w:pPr>
        <w:pStyle w:val="ListNumber"/>
      </w:pPr>
      <w:r>
        <w:t>Réallouer le budget marketing vers Email (ROI 224) en le faisant passer à l'échelle, et renégocier ou réduire le canal Influenceur (ROI le plus faible, coût élevé), sauf preuve d'un effet de notoriété non capté par ce ROI transactionnel.</w:t>
      </w:r>
    </w:p>
    <w:p>
      <w:pPr>
        <w:pStyle w:val="ListNumber"/>
      </w:pPr>
      <w:r>
        <w:t>Lancer un programme de fidélisation ciblé sur les segments Fidèle et VIP (CLV moyenne de 1 142 à 4 149+), qui concentrent une part disproportionnée du CA, en s'appuyant sur le canal Email pour la communication récurrente.</w:t>
      </w:r>
    </w:p>
    <w:p>
      <w:pPr>
        <w:pStyle w:val="Heading1"/>
      </w:pPr>
      <w:r>
        <w:t>Conclusion business orientée action</w:t>
      </w:r>
    </w:p>
    <w:p>
      <w:r>
        <w:rPr>
          <w:b w:val="0"/>
          <w:i w:val="0"/>
        </w:rPr>
        <w:t>AfriMarket affiche un modèle globalement rentable (profit net estimé de 410 k sur 6 mois) mais dont la performance repose sur des risques précis et corrigibles : une dépendance à une catégorie à faible marge et fort taux de retour (Électronique), une anomalie opérationnelle localisée à Douala à traiter avant tout arbitrage géographique, et un mix marketing sous-optimal où le canal le plus rentable (Email) reste sous-exploité au profit de canaux à ROI plus faible. Les cinq recommandations ci-dessus ciblent des actions à impact mesurable sous un à deux trimestres, sans nécessiter d'investissement massif : elles reposent avant tout sur une meilleure allocation des ressources déjà engagées.</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