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280"/>
          <w:sz w:val="32"/>
        </w:rPr>
        <w:t>SedPayroll</w:t>
      </w:r>
    </w:p>
    <w:p>
      <w:pPr>
        <w:jc w:val="center"/>
      </w:pPr>
      <w:r>
        <w:rPr>
          <w:b/>
          <w:color w:val="312E81"/>
          <w:sz w:val="68"/>
        </w:rPr>
        <w:t>BRD</w:t>
      </w:r>
    </w:p>
    <w:p>
      <w:pPr>
        <w:jc w:val="center"/>
      </w:pPr>
      <w:r>
        <w:rPr>
          <w:color w:val="374151"/>
          <w:sz w:val="32"/>
        </w:rPr>
        <w:t>Business Requirements Document</w:t>
      </w:r>
    </w:p>
    <w:p>
      <w:pPr>
        <w:jc w:val="center"/>
      </w:pPr>
      <w:r>
        <w:rPr>
          <w:i/>
          <w:color w:val="6B7280"/>
          <w:sz w:val="22"/>
        </w:rPr>
        <w:t>Payroll, attendance and employee management — current-state business requirements</w:t>
      </w:r>
    </w:p>
    <w:p/>
    <w:p/>
    <w:p/>
    <w:p/>
    <w:p/>
    <w:p/>
    <w:tbl>
      <w:tblPr>
        <w:tblW w:type="auto" w:w="0"/>
        <w:jc w:val="center"/>
        <w:tblLayout w:type="fixed"/>
        <w:tblLook w:firstColumn="1" w:firstRow="1" w:lastColumn="0" w:lastRow="0" w:noHBand="0" w:noVBand="1" w:val="04A0"/>
      </w:tblPr>
      <w:tblGrid>
        <w:gridCol w:w="4873"/>
        <w:gridCol w:w="4873"/>
      </w:tblGrid>
      <w:tr>
        <w:tc>
          <w:tcPr>
            <w:tcW w:type="dxa" w:w="2268"/>
          </w:tcPr>
          <w:p>
            <w:r>
              <w:rPr>
                <w:b/>
                <w:color w:val="374151"/>
                <w:sz w:val="20"/>
              </w:rPr>
              <w:t>Version</w:t>
            </w:r>
          </w:p>
        </w:tc>
        <w:tc>
          <w:tcPr>
            <w:tcW w:type="dxa" w:w="5102"/>
          </w:tcPr>
          <w:p>
            <w:r>
              <w:rPr>
                <w:color w:val="374151"/>
                <w:sz w:val="20"/>
              </w:rPr>
              <w:t>1.0</w:t>
            </w:r>
          </w:p>
        </w:tc>
      </w:tr>
      <w:tr>
        <w:tc>
          <w:tcPr>
            <w:tcW w:type="dxa" w:w="2268"/>
          </w:tcPr>
          <w:p>
            <w:r>
              <w:rPr>
                <w:b/>
                <w:color w:val="374151"/>
                <w:sz w:val="20"/>
              </w:rPr>
              <w:t>Date</w:t>
            </w:r>
          </w:p>
        </w:tc>
        <w:tc>
          <w:tcPr>
            <w:tcW w:type="dxa" w:w="5102"/>
          </w:tcPr>
          <w:p>
            <w:r>
              <w:rPr>
                <w:color w:val="374151"/>
                <w:sz w:val="20"/>
              </w:rPr>
              <w:t>05 September 2026</w:t>
            </w:r>
          </w:p>
        </w:tc>
      </w:tr>
      <w:tr>
        <w:tc>
          <w:tcPr>
            <w:tcW w:type="dxa" w:w="2268"/>
          </w:tcPr>
          <w:p>
            <w:r>
              <w:rPr>
                <w:b/>
                <w:color w:val="374151"/>
                <w:sz w:val="20"/>
              </w:rPr>
              <w:t>Status</w:t>
            </w:r>
          </w:p>
        </w:tc>
        <w:tc>
          <w:tcPr>
            <w:tcW w:type="dxa" w:w="5102"/>
          </w:tcPr>
          <w:p>
            <w:r>
              <w:rPr>
                <w:color w:val="374151"/>
                <w:sz w:val="20"/>
              </w:rPr>
              <w:t>Draft — for review</w:t>
            </w:r>
          </w:p>
        </w:tc>
      </w:tr>
      <w:tr>
        <w:tc>
          <w:tcPr>
            <w:tcW w:type="dxa" w:w="2268"/>
          </w:tcPr>
          <w:p>
            <w:r>
              <w:rPr>
                <w:b/>
                <w:color w:val="374151"/>
                <w:sz w:val="20"/>
              </w:rPr>
              <w:t>Product</w:t>
            </w:r>
          </w:p>
        </w:tc>
        <w:tc>
          <w:tcPr>
            <w:tcW w:type="dxa" w:w="5102"/>
          </w:tcPr>
          <w:p>
            <w:r>
              <w:rPr>
                <w:color w:val="374151"/>
                <w:sz w:val="20"/>
              </w:rPr>
              <w:t>SedPayroll — payroll, attendance &amp; employee management</w:t>
            </w:r>
          </w:p>
        </w:tc>
      </w:tr>
      <w:tr>
        <w:tc>
          <w:tcPr>
            <w:tcW w:type="dxa" w:w="2268"/>
          </w:tcPr>
          <w:p>
            <w:r>
              <w:rPr>
                <w:b/>
                <w:color w:val="374151"/>
                <w:sz w:val="20"/>
              </w:rPr>
              <w:t>Prepared by</w:t>
            </w:r>
          </w:p>
        </w:tc>
        <w:tc>
          <w:tcPr>
            <w:tcW w:type="dxa" w:w="5102"/>
          </w:tcPr>
          <w:p>
            <w:r>
              <w:rPr>
                <w:color w:val="374151"/>
                <w:sz w:val="20"/>
              </w:rPr>
              <w:t>Product &amp; Engineering</w:t>
            </w:r>
          </w:p>
        </w:tc>
      </w:tr>
    </w:tbl>
    <w:p>
      <w:r>
        <w:br w:type="page"/>
      </w:r>
    </w:p>
    <w:p>
      <w:pPr>
        <w:pStyle w:val="Heading2"/>
      </w:pPr>
      <w:r>
        <w:t>Document Control</w:t>
      </w:r>
    </w:p>
    <w:p>
      <w:pPr>
        <w:pStyle w:val="Heading3"/>
      </w:pPr>
      <w:r>
        <w:t>Revision history</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4338CA"/>
          </w:tcPr>
          <w:p>
            <w:r/>
            <w:r>
              <w:rPr>
                <w:b/>
                <w:color w:val="FFFFFF"/>
                <w:sz w:val="19"/>
              </w:rPr>
              <w:t>Version</w:t>
            </w:r>
          </w:p>
        </w:tc>
        <w:tc>
          <w:tcPr>
            <w:tcW w:type="dxa" w:w="2436"/>
            <w:shd w:val="clear" w:color="auto" w:fill="4338CA"/>
          </w:tcPr>
          <w:p>
            <w:r/>
            <w:r>
              <w:rPr>
                <w:b/>
                <w:color w:val="FFFFFF"/>
                <w:sz w:val="19"/>
              </w:rPr>
              <w:t>Date</w:t>
            </w:r>
          </w:p>
        </w:tc>
        <w:tc>
          <w:tcPr>
            <w:tcW w:type="dxa" w:w="2436"/>
            <w:shd w:val="clear" w:color="auto" w:fill="4338CA"/>
          </w:tcPr>
          <w:p>
            <w:r/>
            <w:r>
              <w:rPr>
                <w:b/>
                <w:color w:val="FFFFFF"/>
                <w:sz w:val="19"/>
              </w:rPr>
              <w:t>Author</w:t>
            </w:r>
          </w:p>
        </w:tc>
        <w:tc>
          <w:tcPr>
            <w:tcW w:type="dxa" w:w="2436"/>
            <w:shd w:val="clear" w:color="auto" w:fill="4338CA"/>
          </w:tcPr>
          <w:p>
            <w:r/>
            <w:r>
              <w:rPr>
                <w:b/>
                <w:color w:val="FFFFFF"/>
                <w:sz w:val="19"/>
              </w:rPr>
              <w:t>Description</w:t>
            </w:r>
          </w:p>
        </w:tc>
      </w:tr>
      <w:tr>
        <w:tc>
          <w:tcPr>
            <w:tcW w:type="dxa" w:w="2436"/>
          </w:tcPr>
          <w:p>
            <w:r/>
            <w:r>
              <w:rPr>
                <w:color w:val="374151"/>
                <w:sz w:val="19"/>
              </w:rPr>
              <w:t>1.0</w:t>
            </w:r>
          </w:p>
        </w:tc>
        <w:tc>
          <w:tcPr>
            <w:tcW w:type="dxa" w:w="2436"/>
          </w:tcPr>
          <w:p>
            <w:r/>
            <w:r>
              <w:rPr>
                <w:color w:val="374151"/>
                <w:sz w:val="19"/>
              </w:rPr>
              <w:t>05 September 2026</w:t>
            </w:r>
          </w:p>
        </w:tc>
        <w:tc>
          <w:tcPr>
            <w:tcW w:type="dxa" w:w="2436"/>
          </w:tcPr>
          <w:p>
            <w:r/>
            <w:r>
              <w:rPr>
                <w:color w:val="374151"/>
                <w:sz w:val="19"/>
              </w:rPr>
              <w:t>Product &amp; Engineering</w:t>
            </w:r>
          </w:p>
        </w:tc>
        <w:tc>
          <w:tcPr>
            <w:tcW w:type="dxa" w:w="2436"/>
          </w:tcPr>
          <w:p>
            <w:r/>
            <w:r>
              <w:rPr>
                <w:color w:val="374151"/>
                <w:sz w:val="19"/>
              </w:rPr>
              <w:t>Initial version, documenting the system as currently implemented.</w:t>
            </w:r>
          </w:p>
        </w:tc>
      </w:tr>
    </w:tbl>
    <w:p/>
    <w:p>
      <w:r>
        <w:br w:type="page"/>
      </w:r>
    </w:p>
    <w:p>
      <w:r>
        <w:fldChar w:fldCharType="begin"/>
        <w:instrText xml:space="preserve">TOC \o "1-3" \h \z \u</w:instrText>
        <w:fldChar w:fldCharType="separate"/>
        <w:t>Table of contents — right-click and choose “Update Field” (or Update Table) in Word to generate this list.</w:t>
        <w:fldChar w:fldCharType="end"/>
      </w:r>
    </w:p>
    <w:p>
      <w:r>
        <w:br w:type="page"/>
      </w:r>
    </w:p>
    <w:p>
      <w:pPr>
        <w:pStyle w:val="Heading1"/>
      </w:pPr>
      <w:r>
        <w:t>1. Introduction</w:t>
      </w:r>
    </w:p>
    <w:p>
      <w:pPr>
        <w:pStyle w:val="Heading2"/>
      </w:pPr>
      <w:r>
        <w:t>1.1 Purpose</w:t>
      </w:r>
    </w:p>
    <w:p>
      <w:r>
        <w:t>This Business Requirements Document (BRD) records the business needs that SedPayroll — an internal payroll, attendance and employee-management portal — exists to satisfy. It is written against the system as already built, so it doubles as a current-state baseline: a shared reference for the business before any further change is scoped, and an onboarding reference for anyone new to the product.</w:t>
      </w:r>
    </w:p>
    <w:p>
      <w:pPr>
        <w:pStyle w:val="Heading2"/>
      </w:pPr>
      <w:r>
        <w:t>1.2 Business background</w:t>
      </w:r>
    </w:p>
    <w:p>
      <w:r>
        <w:t>Organizations running payroll and attendance across spreadsheets and ad-hoc tools face slow, error-prone monthly payroll cycles, no self-service for employees, and no single source of truth for who is active, who is present today, or what was paid last month. SedPayroll consolidates employee records, daily attendance, salary structures and monthly payroll processing into one internal web application, shared by every employee — administrators simply have a role flag unlocking extra sections, rather than a separate admin application or account type.</w:t>
      </w:r>
    </w:p>
    <w:p>
      <w:pPr>
        <w:pStyle w:val="Heading2"/>
      </w:pPr>
      <w:r>
        <w:t>1.3 Scope of this document</w:t>
      </w:r>
    </w:p>
    <w:p>
      <w:r>
        <w:t>This BRD covers the business objectives, stakeholders, in-scope and out-of-scope business capabilities, numbered business requirements, assumptions, constraints, success criteria and known risks for SedPayroll as it stands today. It intentionally stays at the business-capability level; user-facing feature detail lives in the companion Product Requirements Document (PRD), and full functional/technical detail in the Software Requirements Specification (SRS).</w:t>
      </w:r>
    </w:p>
    <w:p>
      <w:pPr>
        <w:pStyle w:val="Heading1"/>
      </w:pPr>
      <w:r>
        <w:t>2. Business Objectives</w:t>
      </w:r>
    </w:p>
    <w:p>
      <w:pPr>
        <w:pStyle w:val="ListBullet"/>
      </w:pPr>
      <w:r>
        <w:t>Maintain a single, authoritative system of record for employee, attendance and compensation data, replacing spreadsheets.</w:t>
      </w:r>
    </w:p>
    <w:p>
      <w:pPr>
        <w:pStyle w:val="ListBullet"/>
      </w:pPr>
      <w:r>
        <w:t>Automate monthly payroll computation — including pro-rating pay for attendance — to remove manual calculation and its errors.</w:t>
      </w:r>
    </w:p>
    <w:p>
      <w:pPr>
        <w:pStyle w:val="ListBullet"/>
      </w:pPr>
      <w:r>
        <w:t>Give every employee self-service visibility into their own attendance and payslips, reducing HR's day-to-day query load.</w:t>
      </w:r>
    </w:p>
    <w:p>
      <w:pPr>
        <w:pStyle w:val="ListBullet"/>
      </w:pPr>
      <w:r>
        <w:t>Enforce role-based access to sensitive data (compensation, bank details, org-wide attendance) without operating a separate admin system or duplicate accounts.</w:t>
      </w:r>
    </w:p>
    <w:p>
      <w:pPr>
        <w:pStyle w:val="ListBullet"/>
      </w:pPr>
      <w:r>
        <w:t>Give administrators an at-a-glance view of organizational headcount, attendance and payroll status.</w:t>
      </w:r>
    </w:p>
    <w:p>
      <w:pPr>
        <w:pStyle w:val="Heading1"/>
      </w:pPr>
      <w:r>
        <w:t>3. Stakeholders</w:t>
      </w:r>
    </w:p>
    <w:tbl>
      <w:tblPr>
        <w:tblStyle w:val="TableGrid"/>
        <w:tblW w:type="auto" w:w="0"/>
        <w:tblLayout w:type="autofit"/>
        <w:tblLook w:firstColumn="1" w:firstRow="1" w:lastColumn="0" w:lastRow="0" w:noHBand="0" w:noVBand="1" w:val="04A0"/>
      </w:tblPr>
      <w:tblGrid>
        <w:gridCol w:w="4873"/>
        <w:gridCol w:w="4873"/>
      </w:tblGrid>
      <w:tr>
        <w:tc>
          <w:tcPr>
            <w:tcW w:type="dxa" w:w="2835"/>
            <w:shd w:val="clear" w:color="auto" w:fill="4338CA"/>
          </w:tcPr>
          <w:p>
            <w:r/>
            <w:r>
              <w:rPr>
                <w:b/>
                <w:color w:val="FFFFFF"/>
                <w:sz w:val="19"/>
              </w:rPr>
              <w:t>Stakeholder</w:t>
            </w:r>
          </w:p>
        </w:tc>
        <w:tc>
          <w:tcPr>
            <w:tcW w:type="dxa" w:w="6236"/>
            <w:shd w:val="clear" w:color="auto" w:fill="4338CA"/>
          </w:tcPr>
          <w:p>
            <w:r/>
            <w:r>
              <w:rPr>
                <w:b/>
                <w:color w:val="FFFFFF"/>
                <w:sz w:val="19"/>
              </w:rPr>
              <w:t>Interest / role</w:t>
            </w:r>
          </w:p>
        </w:tc>
      </w:tr>
      <w:tr>
        <w:tc>
          <w:tcPr>
            <w:tcW w:type="dxa" w:w="2835"/>
          </w:tcPr>
          <w:p>
            <w:r/>
            <w:r>
              <w:rPr>
                <w:color w:val="374151"/>
                <w:sz w:val="19"/>
              </w:rPr>
              <w:t>HR / Payroll Administrator</w:t>
            </w:r>
          </w:p>
        </w:tc>
        <w:tc>
          <w:tcPr>
            <w:tcW w:type="dxa" w:w="6236"/>
          </w:tcPr>
          <w:p>
            <w:r/>
            <w:r>
              <w:rPr>
                <w:color w:val="374151"/>
                <w:sz w:val="19"/>
              </w:rPr>
              <w:t>Primary system operator: manages employee records, runs monthly payroll, oversees org-wide attendance.</w:t>
            </w:r>
          </w:p>
        </w:tc>
      </w:tr>
      <w:tr>
        <w:tc>
          <w:tcPr>
            <w:tcW w:type="dxa" w:w="2835"/>
            <w:shd w:val="clear" w:color="auto" w:fill="EEF2FF"/>
          </w:tcPr>
          <w:p>
            <w:r/>
            <w:r>
              <w:rPr>
                <w:color w:val="374151"/>
                <w:sz w:val="19"/>
              </w:rPr>
              <w:t>Employee (all staff)</w:t>
            </w:r>
          </w:p>
        </w:tc>
        <w:tc>
          <w:tcPr>
            <w:tcW w:type="dxa" w:w="6236"/>
            <w:shd w:val="clear" w:color="auto" w:fill="EEF2FF"/>
          </w:tcPr>
          <w:p>
            <w:r/>
            <w:r>
              <w:rPr>
                <w:color w:val="374151"/>
                <w:sz w:val="19"/>
              </w:rPr>
              <w:t>Self-service consumer: clocks in/out, views their own attendance history, payslips and profile.</w:t>
            </w:r>
          </w:p>
        </w:tc>
      </w:tr>
      <w:tr>
        <w:tc>
          <w:tcPr>
            <w:tcW w:type="dxa" w:w="2835"/>
          </w:tcPr>
          <w:p>
            <w:r/>
            <w:r>
              <w:rPr>
                <w:color w:val="374151"/>
                <w:sz w:val="19"/>
              </w:rPr>
              <w:t>Company leadership / Finance</w:t>
            </w:r>
          </w:p>
        </w:tc>
        <w:tc>
          <w:tcPr>
            <w:tcW w:type="dxa" w:w="6236"/>
          </w:tcPr>
          <w:p>
            <w:r/>
            <w:r>
              <w:rPr>
                <w:color w:val="374151"/>
                <w:sz w:val="19"/>
              </w:rPr>
              <w:t>Consumes payroll output (net pay, run status) as the basis for actual salary disbursal, handled outside the system.</w:t>
            </w:r>
          </w:p>
        </w:tc>
      </w:tr>
      <w:tr>
        <w:tc>
          <w:tcPr>
            <w:tcW w:type="dxa" w:w="2835"/>
            <w:shd w:val="clear" w:color="auto" w:fill="EEF2FF"/>
          </w:tcPr>
          <w:p>
            <w:r/>
            <w:r>
              <w:rPr>
                <w:color w:val="374151"/>
                <w:sz w:val="19"/>
              </w:rPr>
              <w:t>Engineering / IT</w:t>
            </w:r>
          </w:p>
        </w:tc>
        <w:tc>
          <w:tcPr>
            <w:tcW w:type="dxa" w:w="6236"/>
            <w:shd w:val="clear" w:color="auto" w:fill="EEF2FF"/>
          </w:tcPr>
          <w:p>
            <w:r/>
            <w:r>
              <w:rPr>
                <w:color w:val="374151"/>
                <w:sz w:val="19"/>
              </w:rPr>
              <w:t>Builds, deploys and maintains the application and its database.</w:t>
            </w:r>
          </w:p>
        </w:tc>
      </w:tr>
    </w:tbl>
    <w:p/>
    <w:p>
      <w:pPr>
        <w:pStyle w:val="Heading1"/>
      </w:pPr>
      <w:r>
        <w:t>4. Business Scope</w:t>
      </w:r>
    </w:p>
    <w:p>
      <w:pPr>
        <w:pStyle w:val="Heading2"/>
      </w:pPr>
      <w:r>
        <w:t>4.1 In scope</w:t>
      </w:r>
    </w:p>
    <w:tbl>
      <w:tblPr>
        <w:tblStyle w:val="TableGrid"/>
        <w:tblW w:type="auto" w:w="0"/>
        <w:tblLayout w:type="autofit"/>
        <w:tblLook w:firstColumn="1" w:firstRow="1" w:lastColumn="0" w:lastRow="0" w:noHBand="0" w:noVBand="1" w:val="04A0"/>
      </w:tblPr>
      <w:tblGrid>
        <w:gridCol w:w="4873"/>
        <w:gridCol w:w="4873"/>
      </w:tblGrid>
      <w:tr>
        <w:tc>
          <w:tcPr>
            <w:tcW w:type="dxa" w:w="2835"/>
            <w:shd w:val="clear" w:color="auto" w:fill="4338CA"/>
          </w:tcPr>
          <w:p>
            <w:r/>
            <w:r>
              <w:rPr>
                <w:b/>
                <w:color w:val="FFFFFF"/>
                <w:sz w:val="19"/>
              </w:rPr>
              <w:t>Business area</w:t>
            </w:r>
          </w:p>
        </w:tc>
        <w:tc>
          <w:tcPr>
            <w:tcW w:type="dxa" w:w="6236"/>
            <w:shd w:val="clear" w:color="auto" w:fill="4338CA"/>
          </w:tcPr>
          <w:p>
            <w:r/>
            <w:r>
              <w:rPr>
                <w:b/>
                <w:color w:val="FFFFFF"/>
                <w:sz w:val="19"/>
              </w:rPr>
              <w:t>Capability</w:t>
            </w:r>
          </w:p>
        </w:tc>
      </w:tr>
      <w:tr>
        <w:tc>
          <w:tcPr>
            <w:tcW w:type="dxa" w:w="2835"/>
          </w:tcPr>
          <w:p>
            <w:r/>
            <w:r>
              <w:rPr>
                <w:color w:val="374151"/>
                <w:sz w:val="19"/>
              </w:rPr>
              <w:t>Employee lifecycle</w:t>
            </w:r>
          </w:p>
        </w:tc>
        <w:tc>
          <w:tcPr>
            <w:tcW w:type="dxa" w:w="6236"/>
          </w:tcPr>
          <w:p>
            <w:r/>
            <w:r>
              <w:rPr>
                <w:color w:val="374151"/>
                <w:sz w:val="19"/>
              </w:rPr>
              <w:t>Create, edit, deactivate/reactivate employees; grant or revoke administrative access.</w:t>
            </w:r>
          </w:p>
        </w:tc>
      </w:tr>
      <w:tr>
        <w:tc>
          <w:tcPr>
            <w:tcW w:type="dxa" w:w="2835"/>
            <w:shd w:val="clear" w:color="auto" w:fill="EEF2FF"/>
          </w:tcPr>
          <w:p>
            <w:r/>
            <w:r>
              <w:rPr>
                <w:color w:val="374151"/>
                <w:sz w:val="19"/>
              </w:rPr>
              <w:t>Attendance</w:t>
            </w:r>
          </w:p>
        </w:tc>
        <w:tc>
          <w:tcPr>
            <w:tcW w:type="dxa" w:w="6236"/>
            <w:shd w:val="clear" w:color="auto" w:fill="EEF2FF"/>
          </w:tcPr>
          <w:p>
            <w:r/>
            <w:r>
              <w:rPr>
                <w:color w:val="374151"/>
                <w:sz w:val="19"/>
              </w:rPr>
              <w:t>Daily self-service clock-in/clock-out; org-wide daily attendance visibility for administrators.</w:t>
            </w:r>
          </w:p>
        </w:tc>
      </w:tr>
      <w:tr>
        <w:tc>
          <w:tcPr>
            <w:tcW w:type="dxa" w:w="2835"/>
          </w:tcPr>
          <w:p>
            <w:r/>
            <w:r>
              <w:rPr>
                <w:color w:val="374151"/>
                <w:sz w:val="19"/>
              </w:rPr>
              <w:t>Payroll processing</w:t>
            </w:r>
          </w:p>
        </w:tc>
        <w:tc>
          <w:tcPr>
            <w:tcW w:type="dxa" w:w="6236"/>
          </w:tcPr>
          <w:p>
            <w:r/>
            <w:r>
              <w:rPr>
                <w:color w:val="374151"/>
                <w:sz w:val="19"/>
              </w:rPr>
              <w:t>Monthly payroll run per organization, computed from salary structures and attendance; mark runs paid.</w:t>
            </w:r>
          </w:p>
        </w:tc>
      </w:tr>
      <w:tr>
        <w:tc>
          <w:tcPr>
            <w:tcW w:type="dxa" w:w="2835"/>
            <w:shd w:val="clear" w:color="auto" w:fill="EEF2FF"/>
          </w:tcPr>
          <w:p>
            <w:r/>
            <w:r>
              <w:rPr>
                <w:color w:val="374151"/>
                <w:sz w:val="19"/>
              </w:rPr>
              <w:t>Employee self-service</w:t>
            </w:r>
          </w:p>
        </w:tc>
        <w:tc>
          <w:tcPr>
            <w:tcW w:type="dxa" w:w="6236"/>
            <w:shd w:val="clear" w:color="auto" w:fill="EEF2FF"/>
          </w:tcPr>
          <w:p>
            <w:r/>
            <w:r>
              <w:rPr>
                <w:color w:val="374151"/>
                <w:sz w:val="19"/>
              </w:rPr>
              <w:t>View own attendance history, payslips and profile without contacting HR.</w:t>
            </w:r>
          </w:p>
        </w:tc>
      </w:tr>
      <w:tr>
        <w:tc>
          <w:tcPr>
            <w:tcW w:type="dxa" w:w="2835"/>
          </w:tcPr>
          <w:p>
            <w:r/>
            <w:r>
              <w:rPr>
                <w:color w:val="374151"/>
                <w:sz w:val="19"/>
              </w:rPr>
              <w:t>Access control</w:t>
            </w:r>
          </w:p>
        </w:tc>
        <w:tc>
          <w:tcPr>
            <w:tcW w:type="dxa" w:w="6236"/>
          </w:tcPr>
          <w:p>
            <w:r/>
            <w:r>
              <w:rPr>
                <w:color w:val="374151"/>
                <w:sz w:val="19"/>
              </w:rPr>
              <w:t>Two-tier access (employee / administrator) on a single shared login, without separate admin infrastructure.</w:t>
            </w:r>
          </w:p>
        </w:tc>
      </w:tr>
    </w:tbl>
    <w:p/>
    <w:p>
      <w:pPr>
        <w:pStyle w:val="Heading2"/>
      </w:pPr>
      <w:r>
        <w:t>4.2 Out of scope</w:t>
      </w:r>
    </w:p>
    <w:p>
      <w:pPr>
        <w:pStyle w:val="ListBullet"/>
      </w:pPr>
      <w:r>
        <w:t>Multi-company / multi-tenant operation — the system serves one organization.</w:t>
      </w:r>
    </w:p>
    <w:p>
      <w:pPr>
        <w:pStyle w:val="ListBullet"/>
      </w:pPr>
      <w:r>
        <w:t>Statutory compliance filing or remittance (EPFO/ESIC/TDS challans, returns) — the system records deduction figures only.</w:t>
      </w:r>
    </w:p>
    <w:p>
      <w:pPr>
        <w:pStyle w:val="ListBullet"/>
      </w:pPr>
      <w:r>
        <w:t>Leave request / approval workflow — attendance carries an “on_leave” status, but there is no request-and-approve process to set it.</w:t>
      </w:r>
    </w:p>
    <w:p>
      <w:pPr>
        <w:pStyle w:val="ListBullet"/>
      </w:pPr>
      <w:r>
        <w:t>Recruitment, onboarding checklists, or performance management.</w:t>
      </w:r>
    </w:p>
    <w:p>
      <w:pPr>
        <w:pStyle w:val="ListBullet"/>
      </w:pPr>
      <w:r>
        <w:t>Actual salary disbursal / bank payment-gateway integration.</w:t>
      </w:r>
    </w:p>
    <w:p>
      <w:pPr>
        <w:pStyle w:val="ListBullet"/>
      </w:pPr>
      <w:r>
        <w:t>Native mobile applications.</w:t>
      </w:r>
    </w:p>
    <w:p>
      <w:pPr>
        <w:pStyle w:val="ListBullet"/>
      </w:pPr>
      <w:r>
        <w:t>Biometric or geo-fenced attendance capture.</w:t>
      </w:r>
    </w:p>
    <w:p>
      <w:pPr>
        <w:pStyle w:val="ListBullet"/>
      </w:pPr>
      <w:r>
        <w:t>Email / SMS notifications of any kind.</w:t>
      </w:r>
    </w:p>
    <w:p>
      <w:pPr>
        <w:pStyle w:val="ListBullet"/>
      </w:pPr>
      <w:r>
        <w:t>Multi-currency or multi-country payroll rules.</w:t>
      </w:r>
    </w:p>
    <w:p>
      <w:pPr>
        <w:pStyle w:val="Heading1"/>
      </w:pPr>
      <w:r>
        <w:t>5. Business Requirements</w:t>
      </w:r>
    </w:p>
    <w:p>
      <w:pPr>
        <w:pStyle w:val="Heading2"/>
      </w:pPr>
      <w:r>
        <w:t>5.1 Employee lifecycle management</w:t>
      </w:r>
    </w:p>
    <w:tbl>
      <w:tblPr>
        <w:tblStyle w:val="TableGrid"/>
        <w:tblW w:type="auto" w:w="0"/>
        <w:tblLayout w:type="autofit"/>
        <w:tblLook w:firstColumn="1" w:firstRow="1" w:lastColumn="0" w:lastRow="0" w:noHBand="0" w:noVBand="1" w:val="04A0"/>
      </w:tblPr>
      <w:tblGrid>
        <w:gridCol w:w="4873"/>
        <w:gridCol w:w="4873"/>
      </w:tblGrid>
      <w:tr>
        <w:tc>
          <w:tcPr>
            <w:tcW w:type="dxa" w:w="1247"/>
            <w:shd w:val="clear" w:color="auto" w:fill="4338CA"/>
          </w:tcPr>
          <w:p>
            <w:r/>
            <w:r>
              <w:rPr>
                <w:b/>
                <w:color w:val="FFFFFF"/>
                <w:sz w:val="19"/>
              </w:rPr>
              <w:t>ID</w:t>
            </w:r>
          </w:p>
        </w:tc>
        <w:tc>
          <w:tcPr>
            <w:tcW w:type="dxa" w:w="7824"/>
            <w:shd w:val="clear" w:color="auto" w:fill="4338CA"/>
          </w:tcPr>
          <w:p>
            <w:r/>
            <w:r>
              <w:rPr>
                <w:b/>
                <w:color w:val="FFFFFF"/>
                <w:sz w:val="19"/>
              </w:rPr>
              <w:t>Requirement</w:t>
            </w:r>
          </w:p>
        </w:tc>
      </w:tr>
      <w:tr>
        <w:tc>
          <w:tcPr>
            <w:tcW w:type="dxa" w:w="1247"/>
          </w:tcPr>
          <w:p>
            <w:r/>
            <w:r>
              <w:rPr>
                <w:color w:val="374151"/>
                <w:sz w:val="19"/>
              </w:rPr>
              <w:t>BR-01</w:t>
            </w:r>
          </w:p>
        </w:tc>
        <w:tc>
          <w:tcPr>
            <w:tcW w:type="dxa" w:w="7824"/>
          </w:tcPr>
          <w:p>
            <w:r/>
            <w:r>
              <w:rPr>
                <w:color w:val="374151"/>
                <w:sz w:val="19"/>
              </w:rPr>
              <w:t>The business shall maintain a single record per employee capturing personal, employment, bank and compensation details.</w:t>
            </w:r>
          </w:p>
        </w:tc>
      </w:tr>
      <w:tr>
        <w:tc>
          <w:tcPr>
            <w:tcW w:type="dxa" w:w="1247"/>
            <w:shd w:val="clear" w:color="auto" w:fill="EEF2FF"/>
          </w:tcPr>
          <w:p>
            <w:r/>
            <w:r>
              <w:rPr>
                <w:color w:val="374151"/>
                <w:sz w:val="19"/>
              </w:rPr>
              <w:t>BR-02</w:t>
            </w:r>
          </w:p>
        </w:tc>
        <w:tc>
          <w:tcPr>
            <w:tcW w:type="dxa" w:w="7824"/>
            <w:shd w:val="clear" w:color="auto" w:fill="EEF2FF"/>
          </w:tcPr>
          <w:p>
            <w:r/>
            <w:r>
              <w:rPr>
                <w:color w:val="374151"/>
                <w:sz w:val="19"/>
              </w:rPr>
              <w:t>The system shall automatically provision a login for every employee record created, removing any separate account-creation step.</w:t>
            </w:r>
          </w:p>
        </w:tc>
      </w:tr>
      <w:tr>
        <w:tc>
          <w:tcPr>
            <w:tcW w:type="dxa" w:w="1247"/>
          </w:tcPr>
          <w:p>
            <w:r/>
            <w:r>
              <w:rPr>
                <w:color w:val="374151"/>
                <w:sz w:val="19"/>
              </w:rPr>
              <w:t>BR-03</w:t>
            </w:r>
          </w:p>
        </w:tc>
        <w:tc>
          <w:tcPr>
            <w:tcW w:type="dxa" w:w="7824"/>
          </w:tcPr>
          <w:p>
            <w:r/>
            <w:r>
              <w:rPr>
                <w:color w:val="374151"/>
                <w:sz w:val="19"/>
              </w:rPr>
              <w:t>The business shall be able to grant or revoke administrative privileges on any employee's own login, rather than creating a separate administrator identity.</w:t>
            </w:r>
          </w:p>
        </w:tc>
      </w:tr>
      <w:tr>
        <w:tc>
          <w:tcPr>
            <w:tcW w:type="dxa" w:w="1247"/>
            <w:shd w:val="clear" w:color="auto" w:fill="EEF2FF"/>
          </w:tcPr>
          <w:p>
            <w:r/>
            <w:r>
              <w:rPr>
                <w:color w:val="374151"/>
                <w:sz w:val="19"/>
              </w:rPr>
              <w:t>BR-04</w:t>
            </w:r>
          </w:p>
        </w:tc>
        <w:tc>
          <w:tcPr>
            <w:tcW w:type="dxa" w:w="7824"/>
            <w:shd w:val="clear" w:color="auto" w:fill="EEF2FF"/>
          </w:tcPr>
          <w:p>
            <w:r/>
            <w:r>
              <w:rPr>
                <w:color w:val="374151"/>
                <w:sz w:val="19"/>
              </w:rPr>
              <w:t>The business shall be able to mark an employee inactive on exit without losing their historical attendance or payroll records.</w:t>
            </w:r>
          </w:p>
        </w:tc>
      </w:tr>
    </w:tbl>
    <w:p/>
    <w:p>
      <w:pPr>
        <w:pStyle w:val="Heading2"/>
      </w:pPr>
      <w:r>
        <w:t>5.2 Attendance</w:t>
      </w:r>
    </w:p>
    <w:tbl>
      <w:tblPr>
        <w:tblStyle w:val="TableGrid"/>
        <w:tblW w:type="auto" w:w="0"/>
        <w:tblLayout w:type="autofit"/>
        <w:tblLook w:firstColumn="1" w:firstRow="1" w:lastColumn="0" w:lastRow="0" w:noHBand="0" w:noVBand="1" w:val="04A0"/>
      </w:tblPr>
      <w:tblGrid>
        <w:gridCol w:w="4873"/>
        <w:gridCol w:w="4873"/>
      </w:tblGrid>
      <w:tr>
        <w:tc>
          <w:tcPr>
            <w:tcW w:type="dxa" w:w="1247"/>
            <w:shd w:val="clear" w:color="auto" w:fill="4338CA"/>
          </w:tcPr>
          <w:p>
            <w:r/>
            <w:r>
              <w:rPr>
                <w:b/>
                <w:color w:val="FFFFFF"/>
                <w:sz w:val="19"/>
              </w:rPr>
              <w:t>ID</w:t>
            </w:r>
          </w:p>
        </w:tc>
        <w:tc>
          <w:tcPr>
            <w:tcW w:type="dxa" w:w="7824"/>
            <w:shd w:val="clear" w:color="auto" w:fill="4338CA"/>
          </w:tcPr>
          <w:p>
            <w:r/>
            <w:r>
              <w:rPr>
                <w:b/>
                <w:color w:val="FFFFFF"/>
                <w:sz w:val="19"/>
              </w:rPr>
              <w:t>Requirement</w:t>
            </w:r>
          </w:p>
        </w:tc>
      </w:tr>
      <w:tr>
        <w:tc>
          <w:tcPr>
            <w:tcW w:type="dxa" w:w="1247"/>
          </w:tcPr>
          <w:p>
            <w:r/>
            <w:r>
              <w:rPr>
                <w:color w:val="374151"/>
                <w:sz w:val="19"/>
              </w:rPr>
              <w:t>BR-05</w:t>
            </w:r>
          </w:p>
        </w:tc>
        <w:tc>
          <w:tcPr>
            <w:tcW w:type="dxa" w:w="7824"/>
          </w:tcPr>
          <w:p>
            <w:r/>
            <w:r>
              <w:rPr>
                <w:color w:val="374151"/>
                <w:sz w:val="19"/>
              </w:rPr>
              <w:t>Every employee shall be able to record their own daily attendance (clock in / clock out) through self-service.</w:t>
            </w:r>
          </w:p>
        </w:tc>
      </w:tr>
      <w:tr>
        <w:tc>
          <w:tcPr>
            <w:tcW w:type="dxa" w:w="1247"/>
            <w:shd w:val="clear" w:color="auto" w:fill="EEF2FF"/>
          </w:tcPr>
          <w:p>
            <w:r/>
            <w:r>
              <w:rPr>
                <w:color w:val="374151"/>
                <w:sz w:val="19"/>
              </w:rPr>
              <w:t>BR-06</w:t>
            </w:r>
          </w:p>
        </w:tc>
        <w:tc>
          <w:tcPr>
            <w:tcW w:type="dxa" w:w="7824"/>
            <w:shd w:val="clear" w:color="auto" w:fill="EEF2FF"/>
          </w:tcPr>
          <w:p>
            <w:r/>
            <w:r>
              <w:rPr>
                <w:color w:val="374151"/>
                <w:sz w:val="19"/>
              </w:rPr>
              <w:t>The business shall be able to view a consolidated daily attendance log across the organization for any given date.</w:t>
            </w:r>
          </w:p>
        </w:tc>
      </w:tr>
      <w:tr>
        <w:tc>
          <w:tcPr>
            <w:tcW w:type="dxa" w:w="1247"/>
          </w:tcPr>
          <w:p>
            <w:r/>
            <w:r>
              <w:rPr>
                <w:color w:val="374151"/>
                <w:sz w:val="19"/>
              </w:rPr>
              <w:t>BR-07</w:t>
            </w:r>
          </w:p>
        </w:tc>
        <w:tc>
          <w:tcPr>
            <w:tcW w:type="dxa" w:w="7824"/>
          </w:tcPr>
          <w:p>
            <w:r/>
            <w:r>
              <w:rPr>
                <w:color w:val="374151"/>
                <w:sz w:val="19"/>
              </w:rPr>
              <w:t>Attendance shall automatically classify a short working day (under 5 worked hours) as a half day for payroll purposes.</w:t>
            </w:r>
          </w:p>
        </w:tc>
      </w:tr>
    </w:tbl>
    <w:p/>
    <w:p>
      <w:pPr>
        <w:pStyle w:val="Heading2"/>
      </w:pPr>
      <w:r>
        <w:t>5.3 Payroll</w:t>
      </w:r>
    </w:p>
    <w:tbl>
      <w:tblPr>
        <w:tblStyle w:val="TableGrid"/>
        <w:tblW w:type="auto" w:w="0"/>
        <w:tblLayout w:type="autofit"/>
        <w:tblLook w:firstColumn="1" w:firstRow="1" w:lastColumn="0" w:lastRow="0" w:noHBand="0" w:noVBand="1" w:val="04A0"/>
      </w:tblPr>
      <w:tblGrid>
        <w:gridCol w:w="4873"/>
        <w:gridCol w:w="4873"/>
      </w:tblGrid>
      <w:tr>
        <w:tc>
          <w:tcPr>
            <w:tcW w:type="dxa" w:w="1247"/>
            <w:shd w:val="clear" w:color="auto" w:fill="4338CA"/>
          </w:tcPr>
          <w:p>
            <w:r/>
            <w:r>
              <w:rPr>
                <w:b/>
                <w:color w:val="FFFFFF"/>
                <w:sz w:val="19"/>
              </w:rPr>
              <w:t>ID</w:t>
            </w:r>
          </w:p>
        </w:tc>
        <w:tc>
          <w:tcPr>
            <w:tcW w:type="dxa" w:w="7824"/>
            <w:shd w:val="clear" w:color="auto" w:fill="4338CA"/>
          </w:tcPr>
          <w:p>
            <w:r/>
            <w:r>
              <w:rPr>
                <w:b/>
                <w:color w:val="FFFFFF"/>
                <w:sz w:val="19"/>
              </w:rPr>
              <w:t>Requirement</w:t>
            </w:r>
          </w:p>
        </w:tc>
      </w:tr>
      <w:tr>
        <w:tc>
          <w:tcPr>
            <w:tcW w:type="dxa" w:w="1247"/>
          </w:tcPr>
          <w:p>
            <w:r/>
            <w:r>
              <w:rPr>
                <w:color w:val="374151"/>
                <w:sz w:val="19"/>
              </w:rPr>
              <w:t>BR-08</w:t>
            </w:r>
          </w:p>
        </w:tc>
        <w:tc>
          <w:tcPr>
            <w:tcW w:type="dxa" w:w="7824"/>
          </w:tcPr>
          <w:p>
            <w:r/>
            <w:r>
              <w:rPr>
                <w:color w:val="374151"/>
                <w:sz w:val="19"/>
              </w:rPr>
              <w:t>The business shall be able to generate payroll for the whole organization for a given month in a single action, computed from each employee's current salary structure and recorded attendance.</w:t>
            </w:r>
          </w:p>
        </w:tc>
      </w:tr>
      <w:tr>
        <w:tc>
          <w:tcPr>
            <w:tcW w:type="dxa" w:w="1247"/>
            <w:shd w:val="clear" w:color="auto" w:fill="EEF2FF"/>
          </w:tcPr>
          <w:p>
            <w:r/>
            <w:r>
              <w:rPr>
                <w:color w:val="374151"/>
                <w:sz w:val="19"/>
              </w:rPr>
              <w:t>BR-09</w:t>
            </w:r>
          </w:p>
        </w:tc>
        <w:tc>
          <w:tcPr>
            <w:tcW w:type="dxa" w:w="7824"/>
            <w:shd w:val="clear" w:color="auto" w:fill="EEF2FF"/>
          </w:tcPr>
          <w:p>
            <w:r/>
            <w:r>
              <w:rPr>
                <w:color w:val="374151"/>
                <w:sz w:val="19"/>
              </w:rPr>
              <w:t>Payroll shall automatically pro-rate pay for days not worked (loss of pay), based on recorded attendance, without manual calculation.</w:t>
            </w:r>
          </w:p>
        </w:tc>
      </w:tr>
      <w:tr>
        <w:tc>
          <w:tcPr>
            <w:tcW w:type="dxa" w:w="1247"/>
          </w:tcPr>
          <w:p>
            <w:r/>
            <w:r>
              <w:rPr>
                <w:color w:val="374151"/>
                <w:sz w:val="19"/>
              </w:rPr>
              <w:t>BR-10</w:t>
            </w:r>
          </w:p>
        </w:tc>
        <w:tc>
          <w:tcPr>
            <w:tcW w:type="dxa" w:w="7824"/>
          </w:tcPr>
          <w:p>
            <w:r/>
            <w:r>
              <w:rPr>
                <w:color w:val="374151"/>
                <w:sz w:val="19"/>
              </w:rPr>
              <w:t>The business shall not be able to process payroll twice for the same month, to prevent duplicate disbursal figures.</w:t>
            </w:r>
          </w:p>
        </w:tc>
      </w:tr>
      <w:tr>
        <w:tc>
          <w:tcPr>
            <w:tcW w:type="dxa" w:w="1247"/>
            <w:shd w:val="clear" w:color="auto" w:fill="EEF2FF"/>
          </w:tcPr>
          <w:p>
            <w:r/>
            <w:r>
              <w:rPr>
                <w:color w:val="374151"/>
                <w:sz w:val="19"/>
              </w:rPr>
              <w:t>BR-11</w:t>
            </w:r>
          </w:p>
        </w:tc>
        <w:tc>
          <w:tcPr>
            <w:tcW w:type="dxa" w:w="7824"/>
            <w:shd w:val="clear" w:color="auto" w:fill="EEF2FF"/>
          </w:tcPr>
          <w:p>
            <w:r/>
            <w:r>
              <w:rPr>
                <w:color w:val="374151"/>
                <w:sz w:val="19"/>
              </w:rPr>
              <w:t>Once payroll is processed, the business shall be able to mark it as paid to reflect actual disbursal status.</w:t>
            </w:r>
          </w:p>
        </w:tc>
      </w:tr>
    </w:tbl>
    <w:p/>
    <w:p>
      <w:pPr>
        <w:pStyle w:val="Heading2"/>
      </w:pPr>
      <w:r>
        <w:t>5.4 Self-service &amp; transparency</w:t>
      </w:r>
    </w:p>
    <w:tbl>
      <w:tblPr>
        <w:tblStyle w:val="TableGrid"/>
        <w:tblW w:type="auto" w:w="0"/>
        <w:tblLayout w:type="autofit"/>
        <w:tblLook w:firstColumn="1" w:firstRow="1" w:lastColumn="0" w:lastRow="0" w:noHBand="0" w:noVBand="1" w:val="04A0"/>
      </w:tblPr>
      <w:tblGrid>
        <w:gridCol w:w="4873"/>
        <w:gridCol w:w="4873"/>
      </w:tblGrid>
      <w:tr>
        <w:tc>
          <w:tcPr>
            <w:tcW w:type="dxa" w:w="1247"/>
            <w:shd w:val="clear" w:color="auto" w:fill="4338CA"/>
          </w:tcPr>
          <w:p>
            <w:r/>
            <w:r>
              <w:rPr>
                <w:b/>
                <w:color w:val="FFFFFF"/>
                <w:sz w:val="19"/>
              </w:rPr>
              <w:t>ID</w:t>
            </w:r>
          </w:p>
        </w:tc>
        <w:tc>
          <w:tcPr>
            <w:tcW w:type="dxa" w:w="7824"/>
            <w:shd w:val="clear" w:color="auto" w:fill="4338CA"/>
          </w:tcPr>
          <w:p>
            <w:r/>
            <w:r>
              <w:rPr>
                <w:b/>
                <w:color w:val="FFFFFF"/>
                <w:sz w:val="19"/>
              </w:rPr>
              <w:t>Requirement</w:t>
            </w:r>
          </w:p>
        </w:tc>
      </w:tr>
      <w:tr>
        <w:tc>
          <w:tcPr>
            <w:tcW w:type="dxa" w:w="1247"/>
          </w:tcPr>
          <w:p>
            <w:r/>
            <w:r>
              <w:rPr>
                <w:color w:val="374151"/>
                <w:sz w:val="19"/>
              </w:rPr>
              <w:t>BR-12</w:t>
            </w:r>
          </w:p>
        </w:tc>
        <w:tc>
          <w:tcPr>
            <w:tcW w:type="dxa" w:w="7824"/>
          </w:tcPr>
          <w:p>
            <w:r/>
            <w:r>
              <w:rPr>
                <w:color w:val="374151"/>
                <w:sz w:val="19"/>
              </w:rPr>
              <w:t>Every employee shall be able to view their own attendance history and payslips at any time, without contacting HR.</w:t>
            </w:r>
          </w:p>
        </w:tc>
      </w:tr>
      <w:tr>
        <w:tc>
          <w:tcPr>
            <w:tcW w:type="dxa" w:w="1247"/>
            <w:shd w:val="clear" w:color="auto" w:fill="EEF2FF"/>
          </w:tcPr>
          <w:p>
            <w:r/>
            <w:r>
              <w:rPr>
                <w:color w:val="374151"/>
                <w:sz w:val="19"/>
              </w:rPr>
              <w:t>BR-13</w:t>
            </w:r>
          </w:p>
        </w:tc>
        <w:tc>
          <w:tcPr>
            <w:tcW w:type="dxa" w:w="7824"/>
            <w:shd w:val="clear" w:color="auto" w:fill="EEF2FF"/>
          </w:tcPr>
          <w:p>
            <w:r/>
            <w:r>
              <w:rPr>
                <w:color w:val="374151"/>
                <w:sz w:val="19"/>
              </w:rPr>
              <w:t>An employee's payslip and personal data shall never be visible to another employee.</w:t>
            </w:r>
          </w:p>
        </w:tc>
      </w:tr>
    </w:tbl>
    <w:p/>
    <w:p>
      <w:pPr>
        <w:pStyle w:val="Heading2"/>
      </w:pPr>
      <w:r>
        <w:t>5.5 Access control</w:t>
      </w:r>
    </w:p>
    <w:tbl>
      <w:tblPr>
        <w:tblStyle w:val="TableGrid"/>
        <w:tblW w:type="auto" w:w="0"/>
        <w:tblLayout w:type="autofit"/>
        <w:tblLook w:firstColumn="1" w:firstRow="1" w:lastColumn="0" w:lastRow="0" w:noHBand="0" w:noVBand="1" w:val="04A0"/>
      </w:tblPr>
      <w:tblGrid>
        <w:gridCol w:w="4873"/>
        <w:gridCol w:w="4873"/>
      </w:tblGrid>
      <w:tr>
        <w:tc>
          <w:tcPr>
            <w:tcW w:type="dxa" w:w="1247"/>
            <w:shd w:val="clear" w:color="auto" w:fill="4338CA"/>
          </w:tcPr>
          <w:p>
            <w:r/>
            <w:r>
              <w:rPr>
                <w:b/>
                <w:color w:val="FFFFFF"/>
                <w:sz w:val="19"/>
              </w:rPr>
              <w:t>ID</w:t>
            </w:r>
          </w:p>
        </w:tc>
        <w:tc>
          <w:tcPr>
            <w:tcW w:type="dxa" w:w="7824"/>
            <w:shd w:val="clear" w:color="auto" w:fill="4338CA"/>
          </w:tcPr>
          <w:p>
            <w:r/>
            <w:r>
              <w:rPr>
                <w:b/>
                <w:color w:val="FFFFFF"/>
                <w:sz w:val="19"/>
              </w:rPr>
              <w:t>Requirement</w:t>
            </w:r>
          </w:p>
        </w:tc>
      </w:tr>
      <w:tr>
        <w:tc>
          <w:tcPr>
            <w:tcW w:type="dxa" w:w="1247"/>
          </w:tcPr>
          <w:p>
            <w:r/>
            <w:r>
              <w:rPr>
                <w:color w:val="374151"/>
                <w:sz w:val="19"/>
              </w:rPr>
              <w:t>BR-14</w:t>
            </w:r>
          </w:p>
        </w:tc>
        <w:tc>
          <w:tcPr>
            <w:tcW w:type="dxa" w:w="7824"/>
          </w:tcPr>
          <w:p>
            <w:r/>
            <w:r>
              <w:rPr>
                <w:color w:val="374151"/>
                <w:sz w:val="19"/>
              </w:rPr>
              <w:t>Only administrators shall be able to manage employees, run payroll, and view organization-wide attendance.</w:t>
            </w:r>
          </w:p>
        </w:tc>
      </w:tr>
      <w:tr>
        <w:tc>
          <w:tcPr>
            <w:tcW w:type="dxa" w:w="1247"/>
            <w:shd w:val="clear" w:color="auto" w:fill="EEF2FF"/>
          </w:tcPr>
          <w:p>
            <w:r/>
            <w:r>
              <w:rPr>
                <w:color w:val="374151"/>
                <w:sz w:val="19"/>
              </w:rPr>
              <w:t>BR-15</w:t>
            </w:r>
          </w:p>
        </w:tc>
        <w:tc>
          <w:tcPr>
            <w:tcW w:type="dxa" w:w="7824"/>
            <w:shd w:val="clear" w:color="auto" w:fill="EEF2FF"/>
          </w:tcPr>
          <w:p>
            <w:r/>
            <w:r>
              <w:rPr>
                <w:color w:val="374151"/>
                <w:sz w:val="19"/>
              </w:rPr>
              <w:t>The system shall prevent the organization from ever being left with zero administrators.</w:t>
            </w:r>
          </w:p>
        </w:tc>
      </w:tr>
    </w:tbl>
    <w:p/>
    <w:p>
      <w:pPr>
        <w:pStyle w:val="Heading1"/>
      </w:pPr>
      <w:r>
        <w:t>6. Assumptions &amp; Constraints</w:t>
      </w:r>
    </w:p>
    <w:p>
      <w:pPr>
        <w:pStyle w:val="ListBullet"/>
      </w:pPr>
      <w:r>
        <w:t>The organization is a single legal entity; no multi-tenant separation is required.</w:t>
      </w:r>
    </w:p>
    <w:p>
      <w:pPr>
        <w:pStyle w:val="ListBullet"/>
      </w:pPr>
      <w:r>
        <w:t>The business hosts its own deployment and PostgreSQL database (self-hosted Docker Compose locally, or a managed Postgres such as Vercel Postgres in production).</w:t>
      </w:r>
    </w:p>
    <w:p>
      <w:pPr>
        <w:pStyle w:val="ListBullet"/>
      </w:pPr>
      <w:r>
        <w:t>Statutory payroll compliance (PF/ESI remittance, TDS computation and filing) is handled by the business outside this system; SedPayroll tracks the deduction amounts only, not the statutory rules behind them.</w:t>
      </w:r>
    </w:p>
    <w:p>
      <w:pPr>
        <w:pStyle w:val="ListBullet"/>
      </w:pPr>
      <w:r>
        <w:t>New employees are given a fixed default temporary password (communicated by HR outside the system); there is no automated email delivery.</w:t>
      </w:r>
    </w:p>
    <w:p>
      <w:pPr>
        <w:pStyle w:val="ListBullet"/>
      </w:pPr>
      <w:r>
        <w:t>All figures are in Indian Rupees; no multi-currency support is assumed.</w:t>
      </w:r>
    </w:p>
    <w:p>
      <w:pPr>
        <w:pStyle w:val="Heading1"/>
      </w:pPr>
      <w:r>
        <w:t>7. Success Criteria / KPIs</w:t>
      </w:r>
    </w:p>
    <w:p>
      <w:pPr>
        <w:pStyle w:val="ListBullet"/>
      </w:pPr>
      <w:r>
        <w:t>Monthly payroll can be run in a single action in under 5 minutes, down from a manual spreadsheet process.</w:t>
      </w:r>
    </w:p>
    <w:p>
      <w:pPr>
        <w:pStyle w:val="ListBullet"/>
      </w:pPr>
      <w:r>
        <w:t>Zero duplicate payroll runs per calendar month (enforced by the system, not by process discipline).</w:t>
      </w:r>
    </w:p>
    <w:p>
      <w:pPr>
        <w:pStyle w:val="ListBullet"/>
      </w:pPr>
      <w:r>
        <w:t>100% of employees can retrieve their own payslip without raising an HR request.</w:t>
      </w:r>
    </w:p>
    <w:p>
      <w:pPr>
        <w:pStyle w:val="ListBullet"/>
      </w:pPr>
      <w:r>
        <w:t>Measurable reduction in HR queries related to attendance/payslip status after rollout.</w:t>
      </w:r>
    </w:p>
    <w:p>
      <w:pPr>
        <w:pStyle w:val="Heading1"/>
      </w:pPr>
      <w:r>
        <w:t>8. Risks &amp; Mitigations</w:t>
      </w:r>
    </w:p>
    <w:tbl>
      <w:tblPr>
        <w:tblStyle w:val="TableGrid"/>
        <w:tblW w:type="auto" w:w="0"/>
        <w:tblLayout w:type="autofit"/>
        <w:tblLook w:firstColumn="1" w:firstRow="1" w:lastColumn="0" w:lastRow="0" w:noHBand="0" w:noVBand="1" w:val="04A0"/>
      </w:tblPr>
      <w:tblGrid>
        <w:gridCol w:w="3249"/>
        <w:gridCol w:w="3249"/>
        <w:gridCol w:w="3249"/>
      </w:tblGrid>
      <w:tr>
        <w:tc>
          <w:tcPr>
            <w:tcW w:type="dxa" w:w="2835"/>
            <w:shd w:val="clear" w:color="auto" w:fill="4338CA"/>
          </w:tcPr>
          <w:p>
            <w:r/>
            <w:r>
              <w:rPr>
                <w:b/>
                <w:color w:val="FFFFFF"/>
                <w:sz w:val="19"/>
              </w:rPr>
              <w:t>Risk</w:t>
            </w:r>
          </w:p>
        </w:tc>
        <w:tc>
          <w:tcPr>
            <w:tcW w:type="dxa" w:w="2835"/>
            <w:shd w:val="clear" w:color="auto" w:fill="4338CA"/>
          </w:tcPr>
          <w:p>
            <w:r/>
            <w:r>
              <w:rPr>
                <w:b/>
                <w:color w:val="FFFFFF"/>
                <w:sz w:val="19"/>
              </w:rPr>
              <w:t>Impact</w:t>
            </w:r>
          </w:p>
        </w:tc>
        <w:tc>
          <w:tcPr>
            <w:tcW w:type="dxa" w:w="3402"/>
            <w:shd w:val="clear" w:color="auto" w:fill="4338CA"/>
          </w:tcPr>
          <w:p>
            <w:r/>
            <w:r>
              <w:rPr>
                <w:b/>
                <w:color w:val="FFFFFF"/>
                <w:sz w:val="19"/>
              </w:rPr>
              <w:t>Mitigation</w:t>
            </w:r>
          </w:p>
        </w:tc>
      </w:tr>
      <w:tr>
        <w:tc>
          <w:tcPr>
            <w:tcW w:type="dxa" w:w="2835"/>
          </w:tcPr>
          <w:p>
            <w:r/>
            <w:r>
              <w:rPr>
                <w:color w:val="374151"/>
                <w:sz w:val="19"/>
              </w:rPr>
              <w:t>Default temporary passwords (Employee@123 / Admin@123) are fixed and predictable.</w:t>
            </w:r>
          </w:p>
        </w:tc>
        <w:tc>
          <w:tcPr>
            <w:tcW w:type="dxa" w:w="2835"/>
          </w:tcPr>
          <w:p>
            <w:r/>
            <w:r>
              <w:rPr>
                <w:color w:val="374151"/>
                <w:sz w:val="19"/>
              </w:rPr>
              <w:t>Credential-guessing risk on any freshly created account.</w:t>
            </w:r>
          </w:p>
        </w:tc>
        <w:tc>
          <w:tcPr>
            <w:tcW w:type="dxa" w:w="3402"/>
          </w:tcPr>
          <w:p>
            <w:r/>
            <w:r>
              <w:rPr>
                <w:color w:val="374151"/>
                <w:sz w:val="19"/>
              </w:rPr>
              <w:t>Recommend forcing a password change on first login (not yet implemented — tracked as a future requirement).</w:t>
            </w:r>
          </w:p>
        </w:tc>
      </w:tr>
      <w:tr>
        <w:tc>
          <w:tcPr>
            <w:tcW w:type="dxa" w:w="2835"/>
            <w:shd w:val="clear" w:color="auto" w:fill="EEF2FF"/>
          </w:tcPr>
          <w:p>
            <w:r/>
            <w:r>
              <w:rPr>
                <w:color w:val="374151"/>
                <w:sz w:val="19"/>
              </w:rPr>
              <w:t>No leave-request/approval workflow exists.</w:t>
            </w:r>
          </w:p>
        </w:tc>
        <w:tc>
          <w:tcPr>
            <w:tcW w:type="dxa" w:w="2835"/>
            <w:shd w:val="clear" w:color="auto" w:fill="EEF2FF"/>
          </w:tcPr>
          <w:p>
            <w:r/>
            <w:r>
              <w:rPr>
                <w:color w:val="374151"/>
                <w:sz w:val="19"/>
              </w:rPr>
              <w:t>The “on_leave” attendance status has no way to be set through the current UI.</w:t>
            </w:r>
          </w:p>
        </w:tc>
        <w:tc>
          <w:tcPr>
            <w:tcW w:type="dxa" w:w="3402"/>
            <w:shd w:val="clear" w:color="auto" w:fill="EEF2FF"/>
          </w:tcPr>
          <w:p>
            <w:r/>
            <w:r>
              <w:rPr>
                <w:color w:val="374151"/>
                <w:sz w:val="19"/>
              </w:rPr>
              <w:t>Scope a leave-management module, or an admin action to set attendance status directly.</w:t>
            </w:r>
          </w:p>
        </w:tc>
      </w:tr>
      <w:tr>
        <w:tc>
          <w:tcPr>
            <w:tcW w:type="dxa" w:w="2835"/>
          </w:tcPr>
          <w:p>
            <w:r/>
            <w:r>
              <w:rPr>
                <w:color w:val="374151"/>
                <w:sz w:val="19"/>
              </w:rPr>
              <w:t>No audit trail of who changed what.</w:t>
            </w:r>
          </w:p>
        </w:tc>
        <w:tc>
          <w:tcPr>
            <w:tcW w:type="dxa" w:w="2835"/>
          </w:tcPr>
          <w:p>
            <w:r/>
            <w:r>
              <w:rPr>
                <w:color w:val="374151"/>
                <w:sz w:val="19"/>
              </w:rPr>
              <w:t>Limited accountability for sensitive changes (salary, admin-role grants).</w:t>
            </w:r>
          </w:p>
        </w:tc>
        <w:tc>
          <w:tcPr>
            <w:tcW w:type="dxa" w:w="3402"/>
          </w:tcPr>
          <w:p>
            <w:r/>
            <w:r>
              <w:rPr>
                <w:color w:val="374151"/>
                <w:sz w:val="19"/>
              </w:rPr>
              <w:t>Add an audit log as a future enhancement.</w:t>
            </w:r>
          </w:p>
        </w:tc>
      </w:tr>
      <w:tr>
        <w:tc>
          <w:tcPr>
            <w:tcW w:type="dxa" w:w="2835"/>
            <w:shd w:val="clear" w:color="auto" w:fill="EEF2FF"/>
          </w:tcPr>
          <w:p>
            <w:r/>
            <w:r>
              <w:rPr>
                <w:color w:val="374151"/>
                <w:sz w:val="19"/>
              </w:rPr>
              <w:t>No statutory compliance calculation.</w:t>
            </w:r>
          </w:p>
        </w:tc>
        <w:tc>
          <w:tcPr>
            <w:tcW w:type="dxa" w:w="2835"/>
            <w:shd w:val="clear" w:color="auto" w:fill="EEF2FF"/>
          </w:tcPr>
          <w:p>
            <w:r/>
            <w:r>
              <w:rPr>
                <w:color w:val="374151"/>
                <w:sz w:val="19"/>
              </w:rPr>
              <w:t>PF/PT figures entered are not validated against government slabs.</w:t>
            </w:r>
          </w:p>
        </w:tc>
        <w:tc>
          <w:tcPr>
            <w:tcW w:type="dxa" w:w="3402"/>
            <w:shd w:val="clear" w:color="auto" w:fill="EEF2FF"/>
          </w:tcPr>
          <w:p>
            <w:r/>
            <w:r>
              <w:rPr>
                <w:color w:val="374151"/>
                <w:sz w:val="19"/>
              </w:rPr>
              <w:t>Business must verify statutory correctness externally; out of scope by design.</w:t>
            </w:r>
          </w:p>
        </w:tc>
      </w:tr>
    </w:tbl>
    <w:p/>
    <w:p>
      <w:pPr>
        <w:pStyle w:val="Heading1"/>
      </w:pPr>
      <w:r>
        <w:t>9. Glossary</w:t>
      </w:r>
    </w:p>
    <w:tbl>
      <w:tblPr>
        <w:tblStyle w:val="TableGrid"/>
        <w:tblW w:type="auto" w:w="0"/>
        <w:tblLayout w:type="autofit"/>
        <w:tblLook w:firstColumn="1" w:firstRow="1" w:lastColumn="0" w:lastRow="0" w:noHBand="0" w:noVBand="1" w:val="04A0"/>
      </w:tblPr>
      <w:tblGrid>
        <w:gridCol w:w="4873"/>
        <w:gridCol w:w="4873"/>
      </w:tblGrid>
      <w:tr>
        <w:tc>
          <w:tcPr>
            <w:tcW w:type="dxa" w:w="2268"/>
            <w:shd w:val="clear" w:color="auto" w:fill="4338CA"/>
          </w:tcPr>
          <w:p>
            <w:r/>
            <w:r>
              <w:rPr>
                <w:b/>
                <w:color w:val="FFFFFF"/>
                <w:sz w:val="19"/>
              </w:rPr>
              <w:t>Term</w:t>
            </w:r>
          </w:p>
        </w:tc>
        <w:tc>
          <w:tcPr>
            <w:tcW w:type="dxa" w:w="6803"/>
            <w:shd w:val="clear" w:color="auto" w:fill="4338CA"/>
          </w:tcPr>
          <w:p>
            <w:r/>
            <w:r>
              <w:rPr>
                <w:b/>
                <w:color w:val="FFFFFF"/>
                <w:sz w:val="19"/>
              </w:rPr>
              <w:t>Meaning</w:t>
            </w:r>
          </w:p>
        </w:tc>
      </w:tr>
      <w:tr>
        <w:tc>
          <w:tcPr>
            <w:tcW w:type="dxa" w:w="2268"/>
          </w:tcPr>
          <w:p>
            <w:r/>
            <w:r>
              <w:rPr>
                <w:color w:val="374151"/>
                <w:sz w:val="19"/>
              </w:rPr>
              <w:t>CTC</w:t>
            </w:r>
          </w:p>
        </w:tc>
        <w:tc>
          <w:tcPr>
            <w:tcW w:type="dxa" w:w="6803"/>
          </w:tcPr>
          <w:p>
            <w:r/>
            <w:r>
              <w:rPr>
                <w:color w:val="374151"/>
                <w:sz w:val="19"/>
              </w:rPr>
              <w:t>Cost to Company — the fully-loaded annual compensation figure stored alongside a salary structure.</w:t>
            </w:r>
          </w:p>
        </w:tc>
      </w:tr>
      <w:tr>
        <w:tc>
          <w:tcPr>
            <w:tcW w:type="dxa" w:w="2268"/>
            <w:shd w:val="clear" w:color="auto" w:fill="EEF2FF"/>
          </w:tcPr>
          <w:p>
            <w:r/>
            <w:r>
              <w:rPr>
                <w:color w:val="374151"/>
                <w:sz w:val="19"/>
              </w:rPr>
              <w:t>HRA</w:t>
            </w:r>
          </w:p>
        </w:tc>
        <w:tc>
          <w:tcPr>
            <w:tcW w:type="dxa" w:w="6803"/>
            <w:shd w:val="clear" w:color="auto" w:fill="EEF2FF"/>
          </w:tcPr>
          <w:p>
            <w:r/>
            <w:r>
              <w:rPr>
                <w:color w:val="374151"/>
                <w:sz w:val="19"/>
              </w:rPr>
              <w:t>House Rent Allowance — a standard Indian salary component.</w:t>
            </w:r>
          </w:p>
        </w:tc>
      </w:tr>
      <w:tr>
        <w:tc>
          <w:tcPr>
            <w:tcW w:type="dxa" w:w="2268"/>
          </w:tcPr>
          <w:p>
            <w:r/>
            <w:r>
              <w:rPr>
                <w:color w:val="374151"/>
                <w:sz w:val="19"/>
              </w:rPr>
              <w:t>PF</w:t>
            </w:r>
          </w:p>
        </w:tc>
        <w:tc>
          <w:tcPr>
            <w:tcW w:type="dxa" w:w="6803"/>
          </w:tcPr>
          <w:p>
            <w:r/>
            <w:r>
              <w:rPr>
                <w:color w:val="374151"/>
                <w:sz w:val="19"/>
              </w:rPr>
              <w:t>Provident Fund — a statutory retirement-savings deduction.</w:t>
            </w:r>
          </w:p>
        </w:tc>
      </w:tr>
      <w:tr>
        <w:tc>
          <w:tcPr>
            <w:tcW w:type="dxa" w:w="2268"/>
            <w:shd w:val="clear" w:color="auto" w:fill="EEF2FF"/>
          </w:tcPr>
          <w:p>
            <w:r/>
            <w:r>
              <w:rPr>
                <w:color w:val="374151"/>
                <w:sz w:val="19"/>
              </w:rPr>
              <w:t>PT</w:t>
            </w:r>
          </w:p>
        </w:tc>
        <w:tc>
          <w:tcPr>
            <w:tcW w:type="dxa" w:w="6803"/>
            <w:shd w:val="clear" w:color="auto" w:fill="EEF2FF"/>
          </w:tcPr>
          <w:p>
            <w:r/>
            <w:r>
              <w:rPr>
                <w:color w:val="374151"/>
                <w:sz w:val="19"/>
              </w:rPr>
              <w:t>Professional Tax — a state-level statutory deduction.</w:t>
            </w:r>
          </w:p>
        </w:tc>
      </w:tr>
      <w:tr>
        <w:tc>
          <w:tcPr>
            <w:tcW w:type="dxa" w:w="2268"/>
          </w:tcPr>
          <w:p>
            <w:r/>
            <w:r>
              <w:rPr>
                <w:color w:val="374151"/>
                <w:sz w:val="19"/>
              </w:rPr>
              <w:t>Loss of pay (LOP)</w:t>
            </w:r>
          </w:p>
        </w:tc>
        <w:tc>
          <w:tcPr>
            <w:tcW w:type="dxa" w:w="6803"/>
          </w:tcPr>
          <w:p>
            <w:r/>
            <w:r>
              <w:rPr>
                <w:color w:val="374151"/>
                <w:sz w:val="19"/>
              </w:rPr>
              <w:t>The portion of gross pay withheld for days not worked in a given month.</w:t>
            </w:r>
          </w:p>
        </w:tc>
      </w:tr>
      <w:tr>
        <w:tc>
          <w:tcPr>
            <w:tcW w:type="dxa" w:w="2268"/>
            <w:shd w:val="clear" w:color="auto" w:fill="EEF2FF"/>
          </w:tcPr>
          <w:p>
            <w:r/>
            <w:r>
              <w:rPr>
                <w:color w:val="374151"/>
                <w:sz w:val="19"/>
              </w:rPr>
              <w:t>Payroll run</w:t>
            </w:r>
          </w:p>
        </w:tc>
        <w:tc>
          <w:tcPr>
            <w:tcW w:type="dxa" w:w="6803"/>
            <w:shd w:val="clear" w:color="auto" w:fill="EEF2FF"/>
          </w:tcPr>
          <w:p>
            <w:r/>
            <w:r>
              <w:rPr>
                <w:color w:val="374151"/>
                <w:sz w:val="19"/>
              </w:rPr>
              <w:t>One month's payroll processing event for the whole organization; produces one payslip per active employee.</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Page </w:t>
    </w:r>
    <w:r>
      <w:rPr>
        <w:color w:val="6B7280"/>
        <w:sz w:val="18"/>
      </w:rPr>
      <w:fldChar w:fldCharType="begin"/>
      <w:instrText xml:space="preserve">PAGE</w:instrText>
      <w:fldChar w:fldCharType="separate"/>
      <w:t>1</w:t>
      <w:fldChar w:fldCharType="end"/>
    </w:r>
    <w:r>
      <w:rPr>
        <w:color w:val="6B7280"/>
        <w:sz w:val="18"/>
      </w:rPr>
      <w:t xml:space="preserve"> of </w:t>
    </w:r>
    <w:r>
      <w:rPr>
        <w:color w:val="6B7280"/>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12E81"/>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312E81"/>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338CA"/>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741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