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6B7280"/>
          <w:sz w:val="32"/>
        </w:rPr>
        <w:t>SedPayroll</w:t>
      </w:r>
    </w:p>
    <w:p>
      <w:pPr>
        <w:jc w:val="center"/>
      </w:pPr>
      <w:r>
        <w:rPr>
          <w:b/>
          <w:color w:val="312E81"/>
          <w:sz w:val="68"/>
        </w:rPr>
        <w:t>SRS</w:t>
      </w:r>
    </w:p>
    <w:p>
      <w:pPr>
        <w:jc w:val="center"/>
      </w:pPr>
      <w:r>
        <w:rPr>
          <w:color w:val="374151"/>
          <w:sz w:val="32"/>
        </w:rPr>
        <w:t>Software Requirements Specification</w:t>
      </w:r>
    </w:p>
    <w:p>
      <w:pPr>
        <w:jc w:val="center"/>
      </w:pPr>
      <w:r>
        <w:rPr>
          <w:i/>
          <w:color w:val="6B7280"/>
          <w:sz w:val="22"/>
        </w:rPr>
        <w:t>Functional, data and non-functional requirements, IEEE 830 style</w:t>
      </w:r>
    </w:p>
    <w:p/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>
              <w:rPr>
                <w:b/>
                <w:color w:val="374151"/>
                <w:sz w:val="20"/>
              </w:rPr>
              <w:t>Version</w:t>
            </w:r>
          </w:p>
        </w:tc>
        <w:tc>
          <w:tcPr>
            <w:tcW w:type="dxa" w:w="5102"/>
          </w:tcPr>
          <w:p>
            <w:r>
              <w:rPr>
                <w:color w:val="374151"/>
                <w:sz w:val="20"/>
              </w:rPr>
              <w:t>1.0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374151"/>
                <w:sz w:val="20"/>
              </w:rPr>
              <w:t>Date</w:t>
            </w:r>
          </w:p>
        </w:tc>
        <w:tc>
          <w:tcPr>
            <w:tcW w:type="dxa" w:w="5102"/>
          </w:tcPr>
          <w:p>
            <w:r>
              <w:rPr>
                <w:color w:val="374151"/>
                <w:sz w:val="20"/>
              </w:rPr>
              <w:t>05 September 2026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374151"/>
                <w:sz w:val="20"/>
              </w:rPr>
              <w:t>Status</w:t>
            </w:r>
          </w:p>
        </w:tc>
        <w:tc>
          <w:tcPr>
            <w:tcW w:type="dxa" w:w="5102"/>
          </w:tcPr>
          <w:p>
            <w:r>
              <w:rPr>
                <w:color w:val="374151"/>
                <w:sz w:val="20"/>
              </w:rPr>
              <w:t>Draft — for review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374151"/>
                <w:sz w:val="20"/>
              </w:rPr>
              <w:t>Product</w:t>
            </w:r>
          </w:p>
        </w:tc>
        <w:tc>
          <w:tcPr>
            <w:tcW w:type="dxa" w:w="5102"/>
          </w:tcPr>
          <w:p>
            <w:r>
              <w:rPr>
                <w:color w:val="374151"/>
                <w:sz w:val="20"/>
              </w:rPr>
              <w:t>SedPayroll — payroll, attendance &amp; employee management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374151"/>
                <w:sz w:val="20"/>
              </w:rPr>
              <w:t>Prepared by</w:t>
            </w:r>
          </w:p>
        </w:tc>
        <w:tc>
          <w:tcPr>
            <w:tcW w:type="dxa" w:w="5102"/>
          </w:tcPr>
          <w:p>
            <w:r>
              <w:rPr>
                <w:color w:val="374151"/>
                <w:sz w:val="20"/>
              </w:rPr>
              <w:t>Product &amp; Engineering</w:t>
            </w:r>
          </w:p>
        </w:tc>
      </w:tr>
    </w:tbl>
    <w:p>
      <w:r>
        <w:br w:type="page"/>
      </w:r>
    </w:p>
    <w:p>
      <w:pPr>
        <w:pStyle w:val="Heading2"/>
      </w:pPr>
      <w:r>
        <w:t>Document Control</w:t>
      </w:r>
    </w:p>
    <w:p>
      <w:pPr>
        <w:pStyle w:val="Heading3"/>
      </w:pPr>
      <w:r>
        <w:t>Revision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36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36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color w:val="374151"/>
                <w:sz w:val="19"/>
              </w:rPr>
              <w:t>1.0</w:t>
            </w:r>
          </w:p>
        </w:tc>
        <w:tc>
          <w:tcPr>
            <w:tcW w:type="dxa" w:w="2436"/>
          </w:tcPr>
          <w:p>
            <w:r/>
            <w:r>
              <w:rPr>
                <w:color w:val="374151"/>
                <w:sz w:val="19"/>
              </w:rPr>
              <w:t>05 September 2026</w:t>
            </w:r>
          </w:p>
        </w:tc>
        <w:tc>
          <w:tcPr>
            <w:tcW w:type="dxa" w:w="2436"/>
          </w:tcPr>
          <w:p>
            <w:r/>
            <w:r>
              <w:rPr>
                <w:color w:val="374151"/>
                <w:sz w:val="19"/>
              </w:rPr>
              <w:t>Product &amp; Engineering</w:t>
            </w:r>
          </w:p>
        </w:tc>
        <w:tc>
          <w:tcPr>
            <w:tcW w:type="dxa" w:w="2436"/>
          </w:tcPr>
          <w:p>
            <w:r/>
            <w:r>
              <w:rPr>
                <w:color w:val="374151"/>
                <w:sz w:val="19"/>
              </w:rPr>
              <w:t>Initial version, documenting the system as currently implemented.</w:t>
            </w:r>
          </w:p>
        </w:tc>
      </w:tr>
    </w:tbl>
    <w:p/>
    <w:p>
      <w:r>
        <w:br w:type="page"/>
      </w:r>
    </w:p>
    <w:p>
      <w:r>
        <w:fldChar w:fldCharType="begin"/>
        <w:instrText xml:space="preserve">TOC \o "1-3" \h \z \u</w:instrText>
        <w:fldChar w:fldCharType="separate"/>
        <w:t>Table of contents — right-click and choose “Update Field” (or Update Table) in Word to generate this list.</w:t>
        <w:fldChar w:fldCharType="end"/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Software Requirements Specification (SRS) describes the functional, data and non-functional requirements of SedPayroll in implementation-level detail, for engineers, QA and technical reviewers. It documents the system as currently built.</w:t>
      </w:r>
    </w:p>
    <w:p>
      <w:pPr>
        <w:pStyle w:val="Heading2"/>
      </w:pPr>
      <w:r>
        <w:t>1.2 Scope</w:t>
      </w:r>
    </w:p>
    <w:p>
      <w:r>
        <w:t>SedPayroll is a single-tenant web application covering employee records, daily attendance, salary structures and monthly payroll processing, shared by every employee of one organization with role-based access (employee / administrator).</w:t>
      </w:r>
    </w:p>
    <w:p>
      <w:pPr>
        <w:pStyle w:val="Heading2"/>
      </w:pPr>
      <w:r>
        <w:t>1.3 Definitions, Acronyms and Abbreviations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6803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74151"/>
                <w:sz w:val="19"/>
              </w:rPr>
              <w:t>RBAC</w:t>
            </w:r>
          </w:p>
        </w:tc>
        <w:tc>
          <w:tcPr>
            <w:tcW w:type="dxa" w:w="6803"/>
          </w:tcPr>
          <w:p>
            <w:r/>
            <w:r>
              <w:rPr>
                <w:color w:val="374151"/>
                <w:sz w:val="19"/>
              </w:rPr>
              <w:t>Role-Based Access Control.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JWT</w:t>
            </w:r>
          </w:p>
        </w:tc>
        <w:tc>
          <w:tcPr>
            <w:tcW w:type="dxa" w:w="6803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JSON Web Token — the signed, stateless session format used by Auth.js.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74151"/>
                <w:sz w:val="19"/>
              </w:rPr>
              <w:t>HRA / CTC / PF / PT</w:t>
            </w:r>
          </w:p>
        </w:tc>
        <w:tc>
          <w:tcPr>
            <w:tcW w:type="dxa" w:w="6803"/>
          </w:tcPr>
          <w:p>
            <w:r/>
            <w:r>
              <w:rPr>
                <w:color w:val="374151"/>
                <w:sz w:val="19"/>
              </w:rPr>
              <w:t>House Rent Allowance / Cost to Company / Provident Fund / Professional Tax — standard Indian payroll terms.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LOP</w:t>
            </w:r>
          </w:p>
        </w:tc>
        <w:tc>
          <w:tcPr>
            <w:tcW w:type="dxa" w:w="6803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Loss of Pay — pay withheld for days not worked in a month.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74151"/>
                <w:sz w:val="19"/>
              </w:rPr>
              <w:t>FR</w:t>
            </w:r>
          </w:p>
        </w:tc>
        <w:tc>
          <w:tcPr>
            <w:tcW w:type="dxa" w:w="6803"/>
          </w:tcPr>
          <w:p>
            <w:r/>
            <w:r>
              <w:rPr>
                <w:color w:val="374151"/>
                <w:sz w:val="19"/>
              </w:rPr>
              <w:t>Functional Requirement (this document's numbering).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Server Action</w:t>
            </w:r>
          </w:p>
        </w:tc>
        <w:tc>
          <w:tcPr>
            <w:tcW w:type="dxa" w:w="6803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A Next.js App Router mechanism for handling form submissions/mutations directly from a Server Component, without a separate REST endpoint.</w:t>
            </w:r>
          </w:p>
        </w:tc>
      </w:tr>
    </w:tbl>
    <w:p/>
    <w:p>
      <w:pPr>
        <w:pStyle w:val="Heading2"/>
      </w:pPr>
      <w:r>
        <w:t>1.4 References</w:t>
      </w:r>
    </w:p>
    <w:p>
      <w:pPr>
        <w:pStyle w:val="ListBullet"/>
      </w:pPr>
      <w:r>
        <w:t>SedPayroll source repository (README.md, AGENTS.md, db/schema.ts, lib/, app/).</w:t>
      </w:r>
    </w:p>
    <w:p>
      <w:pPr>
        <w:pStyle w:val="ListBullet"/>
      </w:pPr>
      <w:r>
        <w:t>SedPayroll BRD v1.0 and PRD v1.0 (companion documents).</w:t>
      </w:r>
    </w:p>
    <w:p>
      <w:pPr>
        <w:pStyle w:val="ListBullet"/>
      </w:pPr>
      <w:r>
        <w:t>docs/SedPayroll-E2E-Test-Cases.xlsx — the test-case inventory.</w:t>
      </w:r>
    </w:p>
    <w:p>
      <w:pPr>
        <w:pStyle w:val="Heading2"/>
      </w:pPr>
      <w:r>
        <w:t>1.5 Overview</w:t>
      </w:r>
    </w:p>
    <w:p>
      <w:r>
        <w:t>Section 2 describes the system at a high level; Section 3 lists detailed functional requirements by module; Section 4 covers external interfaces; Section 5 the data model; Section 6 non-functional requirements; Section 7 other requirements; appendices follow.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SedPayroll is a standalone Next.js 16 (App Router) application backed by a single PostgreSQL database, using Server Actions for all mutations instead of a conventional REST/JSON API. Authentication is provided by Auth.js v5 (Credentials provider, JWT session strategy).</w:t>
      </w:r>
    </w:p>
    <w:p>
      <w:pPr>
        <w:pStyle w:val="Heading2"/>
      </w:pPr>
      <w:r>
        <w:t>2.2 Product functions (summary)</w:t>
      </w:r>
    </w:p>
    <w:p>
      <w:pPr>
        <w:pStyle w:val="ListBullet"/>
      </w:pPr>
      <w:r>
        <w:t>Authenticate users and enforce role-based route access.</w:t>
      </w:r>
    </w:p>
    <w:p>
      <w:pPr>
        <w:pStyle w:val="ListBullet"/>
      </w:pPr>
      <w:r>
        <w:t>Record and display daily attendance (self-service and org-wide).</w:t>
      </w:r>
    </w:p>
    <w:p>
      <w:pPr>
        <w:pStyle w:val="ListBullet"/>
      </w:pPr>
      <w:r>
        <w:t>Maintain employee master data and versioned salary structures.</w:t>
      </w:r>
    </w:p>
    <w:p>
      <w:pPr>
        <w:pStyle w:val="ListBullet"/>
      </w:pPr>
      <w:r>
        <w:t>Run monthly payroll, pro-rating pay from attendance, and track its status through to “paid”.</w:t>
      </w:r>
    </w:p>
    <w:p>
      <w:pPr>
        <w:pStyle w:val="ListBullet"/>
      </w:pPr>
      <w:r>
        <w:t>Present payslips to their owning employee only.</w:t>
      </w:r>
    </w:p>
    <w:p>
      <w:pPr>
        <w:pStyle w:val="Heading2"/>
      </w:pPr>
      <w:r>
        <w:t>2.3 User classes and characteristics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7370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Characteristics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374151"/>
                <w:sz w:val="19"/>
              </w:rPr>
              <w:t>Employee</w:t>
            </w:r>
          </w:p>
        </w:tc>
        <w:tc>
          <w:tcPr>
            <w:tcW w:type="dxa" w:w="7370"/>
          </w:tcPr>
          <w:p>
            <w:r/>
            <w:r>
              <w:rPr>
                <w:color w:val="374151"/>
                <w:sz w:val="19"/>
              </w:rPr>
              <w:t>Any authenticated user with role=employee. Full self-service access to their own dashboard, attendance, payslips and profile.</w:t>
            </w:r>
          </w:p>
        </w:tc>
      </w:tr>
      <w:tr>
        <w:tc>
          <w:tcPr>
            <w:tcW w:type="dxa" w:w="1701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Administrator</w:t>
            </w:r>
          </w:p>
        </w:tc>
        <w:tc>
          <w:tcPr>
            <w:tcW w:type="dxa" w:w="7370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Any authenticated user with role=admin — the same kind of account as Employee, with an additional role flag. Gains the Employees, Team Attendance and Payroll sections on top of the employee capabilities above.</w:t>
            </w:r>
          </w:p>
        </w:tc>
      </w:tr>
    </w:tbl>
    <w:p/>
    <w:p>
      <w:pPr>
        <w:pStyle w:val="Heading2"/>
      </w:pPr>
      <w:r>
        <w:t>2.4 Operating environment</w:t>
      </w:r>
    </w:p>
    <w:p>
      <w:pPr>
        <w:pStyle w:val="ListBullet"/>
      </w:pPr>
      <w:r>
        <w:t>Server runtime: Node.js running Next.js 16 (Turbopack), deployable to Vercel or any Node-compatible host.</w:t>
      </w:r>
    </w:p>
    <w:p>
      <w:pPr>
        <w:pStyle w:val="ListBullet"/>
      </w:pPr>
      <w:r>
        <w:t>Database: PostgreSQL 16 — local via Docker Compose in development, or a managed Postgres (e.g. Vercel Postgres) in production.</w:t>
      </w:r>
    </w:p>
    <w:p>
      <w:pPr>
        <w:pStyle w:val="ListBullet"/>
      </w:pPr>
      <w:r>
        <w:t>Client: any evergreen desktop or mobile browser; the automated test suite exercises Chromium, and the toolchain also supports Firefox and WebKit.</w:t>
      </w:r>
    </w:p>
    <w:p>
      <w:pPr>
        <w:pStyle w:val="Heading2"/>
      </w:pPr>
      <w:r>
        <w:t>2.5 Design and implementation constraints</w:t>
      </w:r>
    </w:p>
    <w:p>
      <w:pPr>
        <w:pStyle w:val="ListBullet"/>
      </w:pPr>
      <w:r>
        <w:t>All mutations are implemented as Next.js Server Actions bound to forms — there is no separate versioned REST/JSON API beyond the Auth.js callback routes.</w:t>
      </w:r>
    </w:p>
    <w:p>
      <w:pPr>
        <w:pStyle w:val="ListBullet"/>
      </w:pPr>
      <w:r>
        <w:t>Drizzle ORM is the sole data-access layer; the schema in db/schema.ts is the single source of truth for the relational model.</w:t>
      </w:r>
    </w:p>
    <w:p>
      <w:pPr>
        <w:pStyle w:val="ListBullet"/>
      </w:pPr>
      <w:r>
        <w:t>The system is single-tenant: one organization's data per deployment/database.</w:t>
      </w:r>
    </w:p>
    <w:p>
      <w:pPr>
        <w:pStyle w:val="Heading2"/>
      </w:pPr>
      <w:r>
        <w:t>2.6 Assumptions and dependencies</w:t>
      </w:r>
    </w:p>
    <w:p>
      <w:pPr>
        <w:pStyle w:val="ListBullet"/>
      </w:pPr>
      <w:r>
        <w:t>DB_DATABASE_URL and AUTH_SECRET environment variables are supplied for every environment.</w:t>
      </w:r>
    </w:p>
    <w:p>
      <w:pPr>
        <w:pStyle w:val="ListBullet"/>
      </w:pPr>
      <w:r>
        <w:t>bcryptjs is used for password hashing; postgres-js is the Postgres driver.</w:t>
      </w:r>
    </w:p>
    <w:p>
      <w:pPr>
        <w:pStyle w:val="ListBullet"/>
      </w:pPr>
      <w:r>
        <w:t>Statutory payroll compliance is out of scope (see BRD §4.2); PF/PT are user-entered deduction amounts, not computed against government slabs.</w:t>
      </w:r>
    </w:p>
    <w:p>
      <w:pPr>
        <w:pStyle w:val="Heading1"/>
      </w:pPr>
      <w:r>
        <w:t>3. System Features (Functional Requirements)</w:t>
      </w:r>
    </w:p>
    <w:p>
      <w:pPr>
        <w:pStyle w:val="Heading2"/>
      </w:pPr>
      <w:r>
        <w:t>3.1 Authentication &amp; session (FR-AUTH)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361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710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1361"/>
          </w:tcPr>
          <w:p>
            <w:r/>
            <w:r>
              <w:rPr>
                <w:color w:val="374151"/>
                <w:sz w:val="19"/>
              </w:rPr>
              <w:t>FR-AUTH-01</w:t>
            </w:r>
          </w:p>
        </w:tc>
        <w:tc>
          <w:tcPr>
            <w:tcW w:type="dxa" w:w="7710"/>
          </w:tcPr>
          <w:p>
            <w:r/>
            <w:r>
              <w:rPr>
                <w:color w:val="374151"/>
                <w:sz w:val="19"/>
              </w:rPr>
              <w:t>The system shall authenticate a user by comparing the submitted password against the bcrypt hash stored for the matching email in the users table.</w:t>
            </w:r>
          </w:p>
        </w:tc>
      </w:tr>
      <w:tr>
        <w:tc>
          <w:tcPr>
            <w:tcW w:type="dxa" w:w="1361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FR-AUTH-02</w:t>
            </w:r>
          </w:p>
        </w:tc>
        <w:tc>
          <w:tcPr>
            <w:tcW w:type="dxa" w:w="7710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On success the system shall issue a JWT session embedding the user's role and employeeId.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color w:val="374151"/>
                <w:sz w:val="19"/>
              </w:rPr>
              <w:t>FR-AUTH-03</w:t>
            </w:r>
          </w:p>
        </w:tc>
        <w:tc>
          <w:tcPr>
            <w:tcW w:type="dxa" w:w="7710"/>
          </w:tcPr>
          <w:p>
            <w:r/>
            <w:r>
              <w:rPr>
                <w:color w:val="374151"/>
                <w:sz w:val="19"/>
              </w:rPr>
              <w:t>Login failure — unknown email or wrong password — shall present a single generic message (“Invalid email or password.”) without indicating which factor failed.</w:t>
            </w:r>
          </w:p>
        </w:tc>
      </w:tr>
      <w:tr>
        <w:tc>
          <w:tcPr>
            <w:tcW w:type="dxa" w:w="1361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FR-AUTH-04</w:t>
            </w:r>
          </w:p>
        </w:tc>
        <w:tc>
          <w:tcPr>
            <w:tcW w:type="dxa" w:w="7710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An authenticated user requesting /login shall be redirected to the dashboard (“/”).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color w:val="374151"/>
                <w:sz w:val="19"/>
              </w:rPr>
              <w:t>FR-AUTH-05</w:t>
            </w:r>
          </w:p>
        </w:tc>
        <w:tc>
          <w:tcPr>
            <w:tcW w:type="dxa" w:w="7710"/>
          </w:tcPr>
          <w:p>
            <w:r/>
            <w:r>
              <w:rPr>
                <w:color w:val="374151"/>
                <w:sz w:val="19"/>
              </w:rPr>
              <w:t>An unauthenticated request to any portal route shall be redirected to /login.</w:t>
            </w:r>
          </w:p>
        </w:tc>
      </w:tr>
      <w:tr>
        <w:tc>
          <w:tcPr>
            <w:tcW w:type="dxa" w:w="1361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FR-AUTH-06</w:t>
            </w:r>
          </w:p>
        </w:tc>
        <w:tc>
          <w:tcPr>
            <w:tcW w:type="dxa" w:w="7710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Signing out shall terminate the session and redirect to /login.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color w:val="374151"/>
                <w:sz w:val="19"/>
              </w:rPr>
              <w:t>FR-AUTH-07</w:t>
            </w:r>
          </w:p>
        </w:tc>
        <w:tc>
          <w:tcPr>
            <w:tcW w:type="dxa" w:w="7710"/>
          </w:tcPr>
          <w:p>
            <w:r/>
            <w:r>
              <w:rPr>
                <w:color w:val="374151"/>
                <w:sz w:val="19"/>
              </w:rPr>
              <w:t>Requests to /employees, /team-attendance or /payroll (and any sub-paths) from a non-admin session shall be redirected to “/” rather than shown an error.</w:t>
            </w:r>
          </w:p>
        </w:tc>
      </w:tr>
      <w:tr>
        <w:tc>
          <w:tcPr>
            <w:tcW w:type="dxa" w:w="1361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FR-AUTH-08</w:t>
            </w:r>
          </w:p>
        </w:tc>
        <w:tc>
          <w:tcPr>
            <w:tcW w:type="dxa" w:w="7710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Route protection shall be enforced at two independent layers: edge middleware for page navigations, and a per-request guard inside every server action/page, since Server Actions are directly reachable and bypass the edge matcher.</w:t>
            </w:r>
          </w:p>
        </w:tc>
      </w:tr>
    </w:tbl>
    <w:p/>
    <w:p>
      <w:pPr>
        <w:pStyle w:val="Heading2"/>
      </w:pPr>
      <w:r>
        <w:t>3.2 Dashboard (FR-DASH)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361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710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1361"/>
          </w:tcPr>
          <w:p>
            <w:r/>
            <w:r>
              <w:rPr>
                <w:color w:val="374151"/>
                <w:sz w:val="19"/>
              </w:rPr>
              <w:t>FR-DASH-01</w:t>
            </w:r>
          </w:p>
        </w:tc>
        <w:tc>
          <w:tcPr>
            <w:tcW w:type="dxa" w:w="7710"/>
          </w:tcPr>
          <w:p>
            <w:r/>
            <w:r>
              <w:rPr>
                <w:color w:val="374151"/>
                <w:sz w:val="19"/>
              </w:rPr>
              <w:t>The dashboard shall display the signed-in user's clock-in/out widget reflecting today's attendance state.</w:t>
            </w:r>
          </w:p>
        </w:tc>
      </w:tr>
      <w:tr>
        <w:tc>
          <w:tcPr>
            <w:tcW w:type="dxa" w:w="1361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FR-DASH-02</w:t>
            </w:r>
          </w:p>
        </w:tc>
        <w:tc>
          <w:tcPr>
            <w:tcW w:type="dxa" w:w="7710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The dashboard shall display the employee's most recently generated payslip's net pay, or an empty-state message if none exists.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color w:val="374151"/>
                <w:sz w:val="19"/>
              </w:rPr>
              <w:t>FR-DASH-03</w:t>
            </w:r>
          </w:p>
        </w:tc>
        <w:tc>
          <w:tcPr>
            <w:tcW w:type="dxa" w:w="7710"/>
          </w:tcPr>
          <w:p>
            <w:r/>
            <w:r>
              <w:rPr>
                <w:color w:val="374151"/>
                <w:sz w:val="19"/>
              </w:rPr>
              <w:t>For an administrator only, the dashboard shall additionally show: active employee count, inactive employee count, count of employees present or half-day today, and total payroll run count — each linking to its section.</w:t>
            </w:r>
          </w:p>
        </w:tc>
      </w:tr>
      <w:tr>
        <w:tc>
          <w:tcPr>
            <w:tcW w:type="dxa" w:w="1361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FR-DASH-04</w:t>
            </w:r>
          </w:p>
        </w:tc>
        <w:tc>
          <w:tcPr>
            <w:tcW w:type="dxa" w:w="7710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The administrator's dashboard shall list the 5 most recently created payroll runs with month, status and processed date.</w:t>
            </w:r>
          </w:p>
        </w:tc>
      </w:tr>
    </w:tbl>
    <w:p/>
    <w:p>
      <w:pPr>
        <w:pStyle w:val="Heading2"/>
      </w:pPr>
      <w:r>
        <w:t>3.3 Attendance — self-service (FR-ATT)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361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710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1361"/>
          </w:tcPr>
          <w:p>
            <w:r/>
            <w:r>
              <w:rPr>
                <w:color w:val="374151"/>
                <w:sz w:val="19"/>
              </w:rPr>
              <w:t>FR-ATT-01</w:t>
            </w:r>
          </w:p>
        </w:tc>
        <w:tc>
          <w:tcPr>
            <w:tcW w:type="dxa" w:w="7710"/>
          </w:tcPr>
          <w:p>
            <w:r/>
            <w:r>
              <w:rPr>
                <w:color w:val="374151"/>
                <w:sz w:val="19"/>
              </w:rPr>
              <w:t>An employee may clock in at most once per calendar day; a second attempt the same day shall be rejected with “You have already clocked in today.” and no duplicate row created.</w:t>
            </w:r>
          </w:p>
        </w:tc>
      </w:tr>
      <w:tr>
        <w:tc>
          <w:tcPr>
            <w:tcW w:type="dxa" w:w="1361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FR-ATT-02</w:t>
            </w:r>
          </w:p>
        </w:tc>
        <w:tc>
          <w:tcPr>
            <w:tcW w:type="dxa" w:w="7710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Clocking in shall record the current server timestamp as clockIn and set status=present.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color w:val="374151"/>
                <w:sz w:val="19"/>
              </w:rPr>
              <w:t>FR-ATT-03</w:t>
            </w:r>
          </w:p>
        </w:tc>
        <w:tc>
          <w:tcPr>
            <w:tcW w:type="dxa" w:w="7710"/>
          </w:tcPr>
          <w:p>
            <w:r/>
            <w:r>
              <w:rPr>
                <w:color w:val="374151"/>
                <w:sz w:val="19"/>
              </w:rPr>
              <w:t>An employee may clock out only after clocking in the same day; clocking out with no prior clock-in shall be rejected with “You need to clock in first.”</w:t>
            </w:r>
          </w:p>
        </w:tc>
      </w:tr>
      <w:tr>
        <w:tc>
          <w:tcPr>
            <w:tcW w:type="dxa" w:w="1361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FR-ATT-04</w:t>
            </w:r>
          </w:p>
        </w:tc>
        <w:tc>
          <w:tcPr>
            <w:tcW w:type="dxa" w:w="7710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A second clock-out attempt the same day shall be rejected with “You have already clocked out today.”</w:t>
            </w:r>
          </w:p>
        </w:tc>
      </w:tr>
      <w:tr>
        <w:tc>
          <w:tcPr>
            <w:tcW w:type="dxa" w:w="1361"/>
          </w:tcPr>
          <w:p>
            <w:r/>
            <w:r>
              <w:rPr>
                <w:color w:val="374151"/>
                <w:sz w:val="19"/>
              </w:rPr>
              <w:t>FR-ATT-05</w:t>
            </w:r>
          </w:p>
        </w:tc>
        <w:tc>
          <w:tcPr>
            <w:tcW w:type="dxa" w:w="7710"/>
          </w:tcPr>
          <w:p>
            <w:r/>
            <w:r>
              <w:rPr>
                <w:color w:val="374151"/>
                <w:sz w:val="19"/>
              </w:rPr>
              <w:t>On clock-out, the system shall compute elapsed hours (clockOut − clockIn); if the result is under 5 hours, status shall be set to half_day, otherwise present.</w:t>
            </w:r>
          </w:p>
        </w:tc>
      </w:tr>
      <w:tr>
        <w:tc>
          <w:tcPr>
            <w:tcW w:type="dxa" w:w="1361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FR-ATT-06</w:t>
            </w:r>
          </w:p>
        </w:tc>
        <w:tc>
          <w:tcPr>
            <w:tcW w:type="dxa" w:w="7710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An employee shall be able to view up to their most recent 60 attendance records, ordered most recent first.</w:t>
            </w:r>
          </w:p>
        </w:tc>
      </w:tr>
    </w:tbl>
    <w:p/>
    <w:p>
      <w:pPr>
        <w:pStyle w:val="Heading2"/>
      </w:pPr>
      <w:r>
        <w:t>3.4 Team attendance — administrator (FR-TATT)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361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710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1361"/>
          </w:tcPr>
          <w:p>
            <w:r/>
            <w:r>
              <w:rPr>
                <w:color w:val="374151"/>
                <w:sz w:val="19"/>
              </w:rPr>
              <w:t>FR-TATT-01</w:t>
            </w:r>
          </w:p>
        </w:tc>
        <w:tc>
          <w:tcPr>
            <w:tcW w:type="dxa" w:w="7710"/>
          </w:tcPr>
          <w:p>
            <w:r/>
            <w:r>
              <w:rPr>
                <w:color w:val="374151"/>
                <w:sz w:val="19"/>
              </w:rPr>
              <w:t>An administrator shall be able to view a single day's attendance for every active employee, defaulting to the current date.</w:t>
            </w:r>
          </w:p>
        </w:tc>
      </w:tr>
      <w:tr>
        <w:tc>
          <w:tcPr>
            <w:tcW w:type="dxa" w:w="1361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FR-TATT-02</w:t>
            </w:r>
          </w:p>
        </w:tc>
        <w:tc>
          <w:tcPr>
            <w:tcW w:type="dxa" w:w="7710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The administrator shall be able to select any date via a date picker; the selected date shall be reflected in the page URL as a query parameter.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color w:val="374151"/>
                <w:sz w:val="19"/>
              </w:rPr>
              <w:t>FR-TATT-03</w:t>
            </w:r>
          </w:p>
        </w:tc>
        <w:tc>
          <w:tcPr>
            <w:tcW w:type="dxa" w:w="7710"/>
          </w:tcPr>
          <w:p>
            <w:r/>
            <w:r>
              <w:rPr>
                <w:color w:val="374151"/>
                <w:sz w:val="19"/>
              </w:rPr>
              <w:t>An active employee with no attendance row for the selected date shall be displayed with unmarked (“—”) clock-in / clock-out cells, not treated as absent by default.</w:t>
            </w:r>
          </w:p>
        </w:tc>
      </w:tr>
    </w:tbl>
    <w:p/>
    <w:p>
      <w:pPr>
        <w:pStyle w:val="Heading2"/>
      </w:pPr>
      <w:r>
        <w:t>3.5 Employee management — administrator (FR-EMP)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361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710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1361"/>
          </w:tcPr>
          <w:p>
            <w:r/>
            <w:r>
              <w:rPr>
                <w:color w:val="374151"/>
                <w:sz w:val="19"/>
              </w:rPr>
              <w:t>FR-EMP-01</w:t>
            </w:r>
          </w:p>
        </w:tc>
        <w:tc>
          <w:tcPr>
            <w:tcW w:type="dxa" w:w="7710"/>
          </w:tcPr>
          <w:p>
            <w:r/>
            <w:r>
              <w:rPr>
                <w:color w:val="374151"/>
                <w:sz w:val="19"/>
              </w:rPr>
              <w:t>The employee list shall be filterable by status (active, default; or inactive), showing employee code, name, email, department, designation, date of joining, status and role.</w:t>
            </w:r>
          </w:p>
        </w:tc>
      </w:tr>
      <w:tr>
        <w:tc>
          <w:tcPr>
            <w:tcW w:type="dxa" w:w="1361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FR-EMP-02</w:t>
            </w:r>
          </w:p>
        </w:tc>
        <w:tc>
          <w:tcPr>
            <w:tcW w:type="dxa" w:w="7710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Creating an employee shall require first name, last name, a unique email address, date of joining and a basic salary amount (≥ 0); department, designation, gender, date of birth, address and bank details are optional.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color w:val="374151"/>
                <w:sz w:val="19"/>
              </w:rPr>
              <w:t>FR-EMP-03</w:t>
            </w:r>
          </w:p>
        </w:tc>
        <w:tc>
          <w:tcPr>
            <w:tcW w:type="dxa" w:w="7710"/>
          </w:tcPr>
          <w:p>
            <w:r/>
            <w:r>
              <w:rPr>
                <w:color w:val="374151"/>
                <w:sz w:val="19"/>
              </w:rPr>
              <w:t>On successful creation, the system shall, within a single database transaction: assign a sequential employee code (“EMP” + zero-padded running count), create a login with a default password (“Admin@123” if admin access is granted at creation, otherwise “Employee@123”), and create an initial salary-structure record effective from the date of joining.</w:t>
            </w:r>
          </w:p>
        </w:tc>
      </w:tr>
      <w:tr>
        <w:tc>
          <w:tcPr>
            <w:tcW w:type="dxa" w:w="1361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FR-EMP-04</w:t>
            </w:r>
          </w:p>
        </w:tc>
        <w:tc>
          <w:tcPr>
            <w:tcW w:type="dxa" w:w="7710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Creating or editing an employee with an email already used by a different employee's login shall be rejected with a field-level error before any row is written or changed.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color w:val="374151"/>
                <w:sz w:val="19"/>
              </w:rPr>
              <w:t>FR-EMP-05</w:t>
            </w:r>
          </w:p>
        </w:tc>
        <w:tc>
          <w:tcPr>
            <w:tcW w:type="dxa" w:w="7710"/>
          </w:tcPr>
          <w:p>
            <w:r/>
            <w:r>
              <w:rPr>
                <w:color w:val="374151"/>
                <w:sz w:val="19"/>
              </w:rPr>
              <w:t>Editing an employee shall re-validate the same required fields as creation and insert a new salary-structure row effective from the current date, preserving all prior structures for historical payroll accuracy, rather than overwriting the previous record.</w:t>
            </w:r>
          </w:p>
        </w:tc>
      </w:tr>
      <w:tr>
        <w:tc>
          <w:tcPr>
            <w:tcW w:type="dxa" w:w="1361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FR-EMP-06</w:t>
            </w:r>
          </w:p>
        </w:tc>
        <w:tc>
          <w:tcPr>
            <w:tcW w:type="dxa" w:w="7710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An administrator shall be able to deactivate an active employee (sets status=inactive and dateOfLeaving=today) and reactivate an inactive one (sets status=active and clears dateOfLeaving); inactive employees shall be excluded from active counts, team-attendance listings and future payroll runs, while retaining all historical attendance and payslip records.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color w:val="374151"/>
                <w:sz w:val="19"/>
              </w:rPr>
              <w:t>FR-EMP-07</w:t>
            </w:r>
          </w:p>
        </w:tc>
        <w:tc>
          <w:tcPr>
            <w:tcW w:type="dxa" w:w="7710"/>
          </w:tcPr>
          <w:p>
            <w:r/>
            <w:r>
              <w:rPr>
                <w:color w:val="374151"/>
                <w:sz w:val="19"/>
              </w:rPr>
              <w:t>An administrator shall be able to grant or revoke admin access on any employee's login, subject to: (a) an administrator may not remove their own admin access; (b) the system shall refuse to demote an administrator while the total admin count is ≤ 1.</w:t>
            </w:r>
          </w:p>
        </w:tc>
      </w:tr>
      <w:tr>
        <w:tc>
          <w:tcPr>
            <w:tcW w:type="dxa" w:w="1361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FR-EMP-08</w:t>
            </w:r>
          </w:p>
        </w:tc>
        <w:tc>
          <w:tcPr>
            <w:tcW w:type="dxa" w:w="7710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Immediately after a successful creation, the system shall display the new employee's temporary password once, for the administrator to relay to them.</w:t>
            </w:r>
          </w:p>
        </w:tc>
      </w:tr>
    </w:tbl>
    <w:p/>
    <w:p>
      <w:pPr>
        <w:pStyle w:val="Heading2"/>
      </w:pPr>
      <w:r>
        <w:t>3.6 Payroll — administrator (FR-PAY)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361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710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1361"/>
          </w:tcPr>
          <w:p>
            <w:r/>
            <w:r>
              <w:rPr>
                <w:color w:val="374151"/>
                <w:sz w:val="19"/>
              </w:rPr>
              <w:t>FR-PAY-01</w:t>
            </w:r>
          </w:p>
        </w:tc>
        <w:tc>
          <w:tcPr>
            <w:tcW w:type="dxa" w:w="7710"/>
          </w:tcPr>
          <w:p>
            <w:r/>
            <w:r>
              <w:rPr>
                <w:color w:val="374151"/>
                <w:sz w:val="19"/>
              </w:rPr>
              <w:t>An administrator shall be able to run payroll for a specified month (1–12) and calendar year.</w:t>
            </w:r>
          </w:p>
        </w:tc>
      </w:tr>
      <w:tr>
        <w:tc>
          <w:tcPr>
            <w:tcW w:type="dxa" w:w="1361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FR-PAY-02</w:t>
            </w:r>
          </w:p>
        </w:tc>
        <w:tc>
          <w:tcPr>
            <w:tcW w:type="dxa" w:w="7710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The system shall reject running payroll for a (month, year) pair that already has a run, with the message “Payroll for this month has already been run.”</w:t>
            </w:r>
          </w:p>
        </w:tc>
      </w:tr>
      <w:tr>
        <w:tc>
          <w:tcPr>
            <w:tcW w:type="dxa" w:w="1361"/>
          </w:tcPr>
          <w:p>
            <w:r/>
            <w:r>
              <w:rPr>
                <w:color w:val="374151"/>
                <w:sz w:val="19"/>
              </w:rPr>
              <w:t>FR-PAY-03</w:t>
            </w:r>
          </w:p>
        </w:tc>
        <w:tc>
          <w:tcPr>
            <w:tcW w:type="dxa" w:w="7710"/>
          </w:tcPr>
          <w:p>
            <w:r/>
            <w:r>
              <w:rPr>
                <w:color w:val="374151"/>
                <w:sz w:val="19"/>
              </w:rPr>
              <w:t>Running payroll shall generate exactly one payslip for every currently active employee, using that employee's latest salary structure with effectiveFrom on or before the last day of the target month.</w:t>
            </w:r>
          </w:p>
        </w:tc>
      </w:tr>
      <w:tr>
        <w:tc>
          <w:tcPr>
            <w:tcW w:type="dxa" w:w="1361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FR-PAY-04</w:t>
            </w:r>
          </w:p>
        </w:tc>
        <w:tc>
          <w:tcPr>
            <w:tcW w:type="dxa" w:w="7710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An employee's pro-rated gross for the month shall equal (basic + HRA + conveyance + medical allowance + special allowance) × min(daysPresent ÷ daysInMonth, 1), where daysPresent sums 1 per “present” day, 0.5 per “half_day”, 1 per “on_leave” day (treated as fully paid), and 0 for any day with no attendance record or status “absent”.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color w:val="374151"/>
                <w:sz w:val="19"/>
              </w:rPr>
              <w:t>FR-PAY-05</w:t>
            </w:r>
          </w:p>
        </w:tc>
        <w:tc>
          <w:tcPr>
            <w:tcW w:type="dxa" w:w="7710"/>
          </w:tcPr>
          <w:p>
            <w:r/>
            <w:r>
              <w:rPr>
                <w:color w:val="374151"/>
                <w:sz w:val="19"/>
              </w:rPr>
              <w:t>Loss-of-pay shall equal the full (non-prorated) gross minus the pro-rated gross. Total deductions shall equal provident fund + professional tax + loss-of-pay. Net pay shall equal the pro-rated gross minus provident fund minus professional tax.</w:t>
            </w:r>
          </w:p>
        </w:tc>
      </w:tr>
      <w:tr>
        <w:tc>
          <w:tcPr>
            <w:tcW w:type="dxa" w:w="1361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FR-PAY-06</w:t>
            </w:r>
          </w:p>
        </w:tc>
        <w:tc>
          <w:tcPr>
            <w:tcW w:type="dxa" w:w="7710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Each generated payslip shall store a structured breakdown of its individually pro-rated earnings components (basic, HRA, conveyance, medical allowance, special allowance) and its deductions (provident fund, professional tax, loss-of-pay).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color w:val="374151"/>
                <w:sz w:val="19"/>
              </w:rPr>
              <w:t>FR-PAY-07</w:t>
            </w:r>
          </w:p>
        </w:tc>
        <w:tc>
          <w:tcPr>
            <w:tcW w:type="dxa" w:w="7710"/>
          </w:tcPr>
          <w:p>
            <w:r/>
            <w:r>
              <w:rPr>
                <w:color w:val="374151"/>
                <w:sz w:val="19"/>
              </w:rPr>
              <w:t>A payroll run shall carry a status of draft, processed or paid; a run is created directly in “processed” status once computed, and “Mark as paid” shall only be available while status is “processed”, transitioning it to “paid”.</w:t>
            </w:r>
          </w:p>
        </w:tc>
      </w:tr>
      <w:tr>
        <w:tc>
          <w:tcPr>
            <w:tcW w:type="dxa" w:w="1361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FR-PAY-08</w:t>
            </w:r>
          </w:p>
        </w:tc>
        <w:tc>
          <w:tcPr>
            <w:tcW w:type="dxa" w:w="7710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An administrator shall be able to open any payroll run to view every payslip in it (days present, gross earnings, deductions, net pay) alongside the run's total net pay.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color w:val="374151"/>
                <w:sz w:val="19"/>
              </w:rPr>
              <w:t>FR-PAY-09</w:t>
            </w:r>
          </w:p>
        </w:tc>
        <w:tc>
          <w:tcPr>
            <w:tcW w:type="dxa" w:w="7710"/>
          </w:tcPr>
          <w:p>
            <w:r/>
            <w:r>
              <w:rPr>
                <w:color w:val="374151"/>
                <w:sz w:val="19"/>
              </w:rPr>
              <w:t>Requesting a payroll run detail page for a non-existent run id shall return a not-found (HTTP 404) response.</w:t>
            </w:r>
          </w:p>
        </w:tc>
      </w:tr>
    </w:tbl>
    <w:p/>
    <w:p>
      <w:pPr>
        <w:pStyle w:val="Heading2"/>
      </w:pPr>
      <w:r>
        <w:t>3.7 Payslips — self-service (FR-PSLIP)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361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710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1361"/>
          </w:tcPr>
          <w:p>
            <w:r/>
            <w:r>
              <w:rPr>
                <w:color w:val="374151"/>
                <w:sz w:val="19"/>
              </w:rPr>
              <w:t>FR-PSLIP-01</w:t>
            </w:r>
          </w:p>
        </w:tc>
        <w:tc>
          <w:tcPr>
            <w:tcW w:type="dxa" w:w="7710"/>
          </w:tcPr>
          <w:p>
            <w:r/>
            <w:r>
              <w:rPr>
                <w:color w:val="374151"/>
                <w:sz w:val="19"/>
              </w:rPr>
              <w:t>An employee shall be able to list every payslip belonging to them, ordered most recent payroll month first, showing month, gross earnings and net pay.</w:t>
            </w:r>
          </w:p>
        </w:tc>
      </w:tr>
      <w:tr>
        <w:tc>
          <w:tcPr>
            <w:tcW w:type="dxa" w:w="1361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FR-PSLIP-02</w:t>
            </w:r>
          </w:p>
        </w:tc>
        <w:tc>
          <w:tcPr>
            <w:tcW w:type="dxa" w:w="7710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An employee shall be able to open one of their payslips to view the full earnings breakdown, deductions breakdown, and net pay.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color w:val="374151"/>
                <w:sz w:val="19"/>
              </w:rPr>
              <w:t>FR-PSLIP-03</w:t>
            </w:r>
          </w:p>
        </w:tc>
        <w:tc>
          <w:tcPr>
            <w:tcW w:type="dxa" w:w="7710"/>
          </w:tcPr>
          <w:p>
            <w:r/>
            <w:r>
              <w:rPr>
                <w:color w:val="374151"/>
                <w:sz w:val="19"/>
              </w:rPr>
              <w:t>A request for a payslip id that does not belong to the requesting employee's own employeeId shall return a not-found (HTTP 404) response, regardless of the requester's role, so as not to confirm the id's existence.</w:t>
            </w:r>
          </w:p>
        </w:tc>
      </w:tr>
    </w:tbl>
    <w:p/>
    <w:p>
      <w:pPr>
        <w:pStyle w:val="Heading2"/>
      </w:pPr>
      <w:r>
        <w:t>3.8 Profile (FR-PROF)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361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7710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1361"/>
          </w:tcPr>
          <w:p>
            <w:r/>
            <w:r>
              <w:rPr>
                <w:color w:val="374151"/>
                <w:sz w:val="19"/>
              </w:rPr>
              <w:t>FR-PROF-01</w:t>
            </w:r>
          </w:p>
        </w:tc>
        <w:tc>
          <w:tcPr>
            <w:tcW w:type="dxa" w:w="7710"/>
          </w:tcPr>
          <w:p>
            <w:r/>
            <w:r>
              <w:rPr>
                <w:color w:val="374151"/>
                <w:sz w:val="19"/>
              </w:rPr>
              <w:t>An employee shall be able to view a read-only summary of their own record: employee code, full name, email, phone, department, designation, date of joining, date of birth and address.</w:t>
            </w:r>
          </w:p>
        </w:tc>
      </w:tr>
      <w:tr>
        <w:tc>
          <w:tcPr>
            <w:tcW w:type="dxa" w:w="1361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FR-PROF-02</w:t>
            </w:r>
          </w:p>
        </w:tc>
        <w:tc>
          <w:tcPr>
            <w:tcW w:type="dxa" w:w="7710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The profile page shall present no editable form controls for any field.</w:t>
            </w:r>
          </w:p>
        </w:tc>
      </w:tr>
    </w:tbl>
    <w:p/>
    <w:p>
      <w:pPr>
        <w:pStyle w:val="Heading1"/>
      </w:pPr>
      <w:r>
        <w:t>4. External Interface Requirements</w:t>
      </w:r>
    </w:p>
    <w:p>
      <w:pPr>
        <w:pStyle w:val="Heading2"/>
      </w:pPr>
      <w:r>
        <w:t>4.1 User interfaces</w:t>
      </w:r>
    </w:p>
    <w:p>
      <w:r>
        <w:t>A responsive web UI: a fixed sidebar navigation on desktop widths, collapsing to a horizontal top navigation on narrow/mobile widths. Light and dark themes are supported, following the OS preference by default with an explicit user toggle, built with Tailwind CSS and shadcn/ui component primitives.</w:t>
      </w:r>
    </w:p>
    <w:p>
      <w:pPr>
        <w:pStyle w:val="Heading2"/>
      </w:pPr>
      <w:r>
        <w:t>4.2 Hardware interfaces</w:t>
      </w:r>
    </w:p>
    <w:p>
      <w:r>
        <w:t>None beyond a standard web client (desktop or mobile).</w:t>
      </w:r>
    </w:p>
    <w:p>
      <w:pPr>
        <w:pStyle w:val="Heading2"/>
      </w:pPr>
      <w:r>
        <w:t>4.3 Software interfaces</w:t>
      </w:r>
    </w:p>
    <w:p>
      <w:pPr>
        <w:pStyle w:val="ListBullet"/>
      </w:pPr>
      <w:r>
        <w:t>PostgreSQL 16, accessed via the postgres-js driver through Drizzle ORM.</w:t>
      </w:r>
    </w:p>
    <w:p>
      <w:pPr>
        <w:pStyle w:val="ListBullet"/>
      </w:pPr>
      <w:r>
        <w:t>Auth.js v5 (Credentials provider, JWT session strategy) for authentication.</w:t>
      </w:r>
    </w:p>
    <w:p>
      <w:pPr>
        <w:pStyle w:val="ListBullet"/>
      </w:pPr>
      <w:r>
        <w:t>No third-party payment, email, or SMS integrations.</w:t>
      </w:r>
    </w:p>
    <w:p>
      <w:pPr>
        <w:pStyle w:val="Heading2"/>
      </w:pPr>
      <w:r>
        <w:t>4.4 Communications interfaces</w:t>
      </w:r>
    </w:p>
    <w:p>
      <w:r>
        <w:t>HTTPS in production; plain HTTP is used only for local development.</w:t>
      </w:r>
    </w:p>
    <w:p>
      <w:pPr>
        <w:pStyle w:val="Heading1"/>
      </w:pPr>
      <w:r>
        <w:t>5. Data Requirements</w:t>
      </w:r>
    </w:p>
    <w:p>
      <w:r>
        <w:t>The relational schema (db/schema.ts, Drizzle ORM / PostgreSQL) comprises eight tables:</w:t>
      </w:r>
    </w:p>
    <w:p>
      <w:pPr>
        <w:pStyle w:val="Heading3"/>
      </w:pPr>
      <w:r>
        <w:t>5.1 departments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803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Type / constraint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74151"/>
                <w:sz w:val="19"/>
              </w:rPr>
              <w:t>id</w:t>
            </w:r>
          </w:p>
        </w:tc>
        <w:tc>
          <w:tcPr>
            <w:tcW w:type="dxa" w:w="6803"/>
          </w:tcPr>
          <w:p>
            <w:r/>
            <w:r>
              <w:rPr>
                <w:color w:val="374151"/>
                <w:sz w:val="19"/>
              </w:rPr>
              <w:t>serial, primary key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name</w:t>
            </w:r>
          </w:p>
        </w:tc>
        <w:tc>
          <w:tcPr>
            <w:tcW w:type="dxa" w:w="6803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varchar(120), unique, required</w:t>
            </w:r>
          </w:p>
        </w:tc>
      </w:tr>
    </w:tbl>
    <w:p/>
    <w:p>
      <w:pPr>
        <w:pStyle w:val="Heading3"/>
      </w:pPr>
      <w:r>
        <w:t>5.2 designations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803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Type / constraint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74151"/>
                <w:sz w:val="19"/>
              </w:rPr>
              <w:t>id</w:t>
            </w:r>
          </w:p>
        </w:tc>
        <w:tc>
          <w:tcPr>
            <w:tcW w:type="dxa" w:w="6803"/>
          </w:tcPr>
          <w:p>
            <w:r/>
            <w:r>
              <w:rPr>
                <w:color w:val="374151"/>
                <w:sz w:val="19"/>
              </w:rPr>
              <w:t>serial, primary key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title</w:t>
            </w:r>
          </w:p>
        </w:tc>
        <w:tc>
          <w:tcPr>
            <w:tcW w:type="dxa" w:w="6803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varchar(120), unique, required</w:t>
            </w:r>
          </w:p>
        </w:tc>
      </w:tr>
    </w:tbl>
    <w:p/>
    <w:p>
      <w:pPr>
        <w:pStyle w:val="Heading3"/>
      </w:pPr>
      <w:r>
        <w:t>5.3 employees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236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Type / constraint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374151"/>
                <w:sz w:val="19"/>
              </w:rPr>
              <w:t>id</w:t>
            </w:r>
          </w:p>
        </w:tc>
        <w:tc>
          <w:tcPr>
            <w:tcW w:type="dxa" w:w="6236"/>
          </w:tcPr>
          <w:p>
            <w:r/>
            <w:r>
              <w:rPr>
                <w:color w:val="374151"/>
                <w:sz w:val="19"/>
              </w:rPr>
              <w:t>serial, primary key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employeeCode</w:t>
            </w:r>
          </w:p>
        </w:tc>
        <w:tc>
          <w:tcPr>
            <w:tcW w:type="dxa" w:w="6236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varchar(20), unique, required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374151"/>
                <w:sz w:val="19"/>
              </w:rPr>
              <w:t>firstName / lastName</w:t>
            </w:r>
          </w:p>
        </w:tc>
        <w:tc>
          <w:tcPr>
            <w:tcW w:type="dxa" w:w="6236"/>
          </w:tcPr>
          <w:p>
            <w:r/>
            <w:r>
              <w:rPr>
                <w:color w:val="374151"/>
                <w:sz w:val="19"/>
              </w:rPr>
              <w:t>varchar(100), required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email</w:t>
            </w:r>
          </w:p>
        </w:tc>
        <w:tc>
          <w:tcPr>
            <w:tcW w:type="dxa" w:w="6236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varchar(255), unique, required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374151"/>
                <w:sz w:val="19"/>
              </w:rPr>
              <w:t>phone</w:t>
            </w:r>
          </w:p>
        </w:tc>
        <w:tc>
          <w:tcPr>
            <w:tcW w:type="dxa" w:w="6236"/>
          </w:tcPr>
          <w:p>
            <w:r/>
            <w:r>
              <w:rPr>
                <w:color w:val="374151"/>
                <w:sz w:val="19"/>
              </w:rPr>
              <w:t>varchar(20), optional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departmentId / designationId</w:t>
            </w:r>
          </w:p>
        </w:tc>
        <w:tc>
          <w:tcPr>
            <w:tcW w:type="dxa" w:w="6236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FK → departments/designations, ON DELETE SET NULL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374151"/>
                <w:sz w:val="19"/>
              </w:rPr>
              <w:t>gender</w:t>
            </w:r>
          </w:p>
        </w:tc>
        <w:tc>
          <w:tcPr>
            <w:tcW w:type="dxa" w:w="6236"/>
          </w:tcPr>
          <w:p>
            <w:r/>
            <w:r>
              <w:rPr>
                <w:color w:val="374151"/>
                <w:sz w:val="19"/>
              </w:rPr>
              <w:t>enum: male | female | other, optional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dateOfBirth</w:t>
            </w:r>
          </w:p>
        </w:tc>
        <w:tc>
          <w:tcPr>
            <w:tcW w:type="dxa" w:w="6236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date, optional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374151"/>
                <w:sz w:val="19"/>
              </w:rPr>
              <w:t>dateOfJoining</w:t>
            </w:r>
          </w:p>
        </w:tc>
        <w:tc>
          <w:tcPr>
            <w:tcW w:type="dxa" w:w="6236"/>
          </w:tcPr>
          <w:p>
            <w:r/>
            <w:r>
              <w:rPr>
                <w:color w:val="374151"/>
                <w:sz w:val="19"/>
              </w:rPr>
              <w:t>date, required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dateOfLeaving</w:t>
            </w:r>
          </w:p>
        </w:tc>
        <w:tc>
          <w:tcPr>
            <w:tcW w:type="dxa" w:w="6236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date, set on deactivation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374151"/>
                <w:sz w:val="19"/>
              </w:rPr>
              <w:t>status</w:t>
            </w:r>
          </w:p>
        </w:tc>
        <w:tc>
          <w:tcPr>
            <w:tcW w:type="dxa" w:w="6236"/>
          </w:tcPr>
          <w:p>
            <w:r/>
            <w:r>
              <w:rPr>
                <w:color w:val="374151"/>
                <w:sz w:val="19"/>
              </w:rPr>
              <w:t>enum: active | inactive, default active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address, bankAccountNumber, bankName, ifsc, panNumber</w:t>
            </w:r>
          </w:p>
        </w:tc>
        <w:tc>
          <w:tcPr>
            <w:tcW w:type="dxa" w:w="6236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text/varchar, optional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374151"/>
                <w:sz w:val="19"/>
              </w:rPr>
              <w:t>createdAt / updatedAt</w:t>
            </w:r>
          </w:p>
        </w:tc>
        <w:tc>
          <w:tcPr>
            <w:tcW w:type="dxa" w:w="6236"/>
          </w:tcPr>
          <w:p>
            <w:r/>
            <w:r>
              <w:rPr>
                <w:color w:val="374151"/>
                <w:sz w:val="19"/>
              </w:rPr>
              <w:t>timestamptz</w:t>
            </w:r>
          </w:p>
        </w:tc>
      </w:tr>
    </w:tbl>
    <w:p/>
    <w:p>
      <w:pPr>
        <w:pStyle w:val="Heading3"/>
      </w:pPr>
      <w:r>
        <w:t>5.4 users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803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Type / constraint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74151"/>
                <w:sz w:val="19"/>
              </w:rPr>
              <w:t>id</w:t>
            </w:r>
          </w:p>
        </w:tc>
        <w:tc>
          <w:tcPr>
            <w:tcW w:type="dxa" w:w="6803"/>
          </w:tcPr>
          <w:p>
            <w:r/>
            <w:r>
              <w:rPr>
                <w:color w:val="374151"/>
                <w:sz w:val="19"/>
              </w:rPr>
              <w:t>serial, primary key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email</w:t>
            </w:r>
          </w:p>
        </w:tc>
        <w:tc>
          <w:tcPr>
            <w:tcW w:type="dxa" w:w="6803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varchar(255), unique, required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74151"/>
                <w:sz w:val="19"/>
              </w:rPr>
              <w:t>passwordHash</w:t>
            </w:r>
          </w:p>
        </w:tc>
        <w:tc>
          <w:tcPr>
            <w:tcW w:type="dxa" w:w="6803"/>
          </w:tcPr>
          <w:p>
            <w:r/>
            <w:r>
              <w:rPr>
                <w:color w:val="374151"/>
                <w:sz w:val="19"/>
              </w:rPr>
              <w:t>text, required (bcrypt)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role</w:t>
            </w:r>
          </w:p>
        </w:tc>
        <w:tc>
          <w:tcPr>
            <w:tcW w:type="dxa" w:w="6803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enum: admin | employee, default employee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74151"/>
                <w:sz w:val="19"/>
              </w:rPr>
              <w:t>employeeId</w:t>
            </w:r>
          </w:p>
        </w:tc>
        <w:tc>
          <w:tcPr>
            <w:tcW w:type="dxa" w:w="6803"/>
          </w:tcPr>
          <w:p>
            <w:r/>
            <w:r>
              <w:rPr>
                <w:color w:val="374151"/>
                <w:sz w:val="19"/>
              </w:rPr>
              <w:t>FK → employees, unique (1:1), ON DELETE CASCADE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createdAt</w:t>
            </w:r>
          </w:p>
        </w:tc>
        <w:tc>
          <w:tcPr>
            <w:tcW w:type="dxa" w:w="6803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timestamptz</w:t>
            </w:r>
          </w:p>
        </w:tc>
      </w:tr>
    </w:tbl>
    <w:p/>
    <w:p>
      <w:pPr>
        <w:pStyle w:val="Heading3"/>
      </w:pPr>
      <w:r>
        <w:t>5.5 attendance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803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Type / constraint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74151"/>
                <w:sz w:val="19"/>
              </w:rPr>
              <w:t>id</w:t>
            </w:r>
          </w:p>
        </w:tc>
        <w:tc>
          <w:tcPr>
            <w:tcW w:type="dxa" w:w="6803"/>
          </w:tcPr>
          <w:p>
            <w:r/>
            <w:r>
              <w:rPr>
                <w:color w:val="374151"/>
                <w:sz w:val="19"/>
              </w:rPr>
              <w:t>serial, primary key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employeeId</w:t>
            </w:r>
          </w:p>
        </w:tc>
        <w:tc>
          <w:tcPr>
            <w:tcW w:type="dxa" w:w="6803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FK → employees, ON DELETE CASCADE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74151"/>
                <w:sz w:val="19"/>
              </w:rPr>
              <w:t>date</w:t>
            </w:r>
          </w:p>
        </w:tc>
        <w:tc>
          <w:tcPr>
            <w:tcW w:type="dxa" w:w="6803"/>
          </w:tcPr>
          <w:p>
            <w:r/>
            <w:r>
              <w:rPr>
                <w:color w:val="374151"/>
                <w:sz w:val="19"/>
              </w:rPr>
              <w:t>date, required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clockIn / clockOut</w:t>
            </w:r>
          </w:p>
        </w:tc>
        <w:tc>
          <w:tcPr>
            <w:tcW w:type="dxa" w:w="6803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timestamptz, nullable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74151"/>
                <w:sz w:val="19"/>
              </w:rPr>
              <w:t>status</w:t>
            </w:r>
          </w:p>
        </w:tc>
        <w:tc>
          <w:tcPr>
            <w:tcW w:type="dxa" w:w="6803"/>
          </w:tcPr>
          <w:p>
            <w:r/>
            <w:r>
              <w:rPr>
                <w:color w:val="374151"/>
                <w:sz w:val="19"/>
              </w:rPr>
              <w:t>enum: present | absent | half_day | on_leave, default present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notes</w:t>
            </w:r>
          </w:p>
        </w:tc>
        <w:tc>
          <w:tcPr>
            <w:tcW w:type="dxa" w:w="6803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text, optional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74151"/>
                <w:sz w:val="19"/>
              </w:rPr>
              <w:t>(employeeId, date)</w:t>
            </w:r>
          </w:p>
        </w:tc>
        <w:tc>
          <w:tcPr>
            <w:tcW w:type="dxa" w:w="6803"/>
          </w:tcPr>
          <w:p>
            <w:r/>
            <w:r>
              <w:rPr>
                <w:color w:val="374151"/>
                <w:sz w:val="19"/>
              </w:rPr>
              <w:t>unique index — one row per employee per day</w:t>
            </w:r>
          </w:p>
        </w:tc>
      </w:tr>
    </w:tbl>
    <w:p/>
    <w:p>
      <w:pPr>
        <w:pStyle w:val="Heading3"/>
      </w:pPr>
      <w:r>
        <w:t>5.6 salary_structures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803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Type / constraint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74151"/>
                <w:sz w:val="19"/>
              </w:rPr>
              <w:t>id</w:t>
            </w:r>
          </w:p>
        </w:tc>
        <w:tc>
          <w:tcPr>
            <w:tcW w:type="dxa" w:w="6803"/>
          </w:tcPr>
          <w:p>
            <w:r/>
            <w:r>
              <w:rPr>
                <w:color w:val="374151"/>
                <w:sz w:val="19"/>
              </w:rPr>
              <w:t>serial, primary key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employeeId</w:t>
            </w:r>
          </w:p>
        </w:tc>
        <w:tc>
          <w:tcPr>
            <w:tcW w:type="dxa" w:w="6803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FK → employees, ON DELETE CASCADE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74151"/>
                <w:sz w:val="19"/>
              </w:rPr>
              <w:t>effectiveFrom</w:t>
            </w:r>
          </w:p>
        </w:tc>
        <w:tc>
          <w:tcPr>
            <w:tcW w:type="dxa" w:w="6803"/>
          </w:tcPr>
          <w:p>
            <w:r/>
            <w:r>
              <w:rPr>
                <w:color w:val="374151"/>
                <w:sz w:val="19"/>
              </w:rPr>
              <w:t>date, required — versions the structure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basic</w:t>
            </w:r>
          </w:p>
        </w:tc>
        <w:tc>
          <w:tcPr>
            <w:tcW w:type="dxa" w:w="6803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numeric(12,2), required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74151"/>
                <w:sz w:val="19"/>
              </w:rPr>
              <w:t>hra, conveyance, medicalAllowance, specialAllowance, providentFund, professionalTax</w:t>
            </w:r>
          </w:p>
        </w:tc>
        <w:tc>
          <w:tcPr>
            <w:tcW w:type="dxa" w:w="6803"/>
          </w:tcPr>
          <w:p>
            <w:r/>
            <w:r>
              <w:rPr>
                <w:color w:val="374151"/>
                <w:sz w:val="19"/>
              </w:rPr>
              <w:t>numeric(12,2), default 0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ctc</w:t>
            </w:r>
          </w:p>
        </w:tc>
        <w:tc>
          <w:tcPr>
            <w:tcW w:type="dxa" w:w="6803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numeric(12,2), required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74151"/>
                <w:sz w:val="19"/>
              </w:rPr>
              <w:t>createdAt</w:t>
            </w:r>
          </w:p>
        </w:tc>
        <w:tc>
          <w:tcPr>
            <w:tcW w:type="dxa" w:w="6803"/>
          </w:tcPr>
          <w:p>
            <w:r/>
            <w:r>
              <w:rPr>
                <w:color w:val="374151"/>
                <w:sz w:val="19"/>
              </w:rPr>
              <w:t>timestamptz</w:t>
            </w:r>
          </w:p>
        </w:tc>
      </w:tr>
    </w:tbl>
    <w:p/>
    <w:p>
      <w:pPr>
        <w:pStyle w:val="Heading3"/>
      </w:pPr>
      <w:r>
        <w:t>5.7 payroll_runs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803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Type / constraint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74151"/>
                <w:sz w:val="19"/>
              </w:rPr>
              <w:t>id</w:t>
            </w:r>
          </w:p>
        </w:tc>
        <w:tc>
          <w:tcPr>
            <w:tcW w:type="dxa" w:w="6803"/>
          </w:tcPr>
          <w:p>
            <w:r/>
            <w:r>
              <w:rPr>
                <w:color w:val="374151"/>
                <w:sz w:val="19"/>
              </w:rPr>
              <w:t>serial, primary key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month</w:t>
            </w:r>
          </w:p>
        </w:tc>
        <w:tc>
          <w:tcPr>
            <w:tcW w:type="dxa" w:w="6803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integer 1–12, required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74151"/>
                <w:sz w:val="19"/>
              </w:rPr>
              <w:t>year</w:t>
            </w:r>
          </w:p>
        </w:tc>
        <w:tc>
          <w:tcPr>
            <w:tcW w:type="dxa" w:w="6803"/>
          </w:tcPr>
          <w:p>
            <w:r/>
            <w:r>
              <w:rPr>
                <w:color w:val="374151"/>
                <w:sz w:val="19"/>
              </w:rPr>
              <w:t>integer, required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status</w:t>
            </w:r>
          </w:p>
        </w:tc>
        <w:tc>
          <w:tcPr>
            <w:tcW w:type="dxa" w:w="6803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enum: draft | processed | paid, default draft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74151"/>
                <w:sz w:val="19"/>
              </w:rPr>
              <w:t>processedAt</w:t>
            </w:r>
          </w:p>
        </w:tc>
        <w:tc>
          <w:tcPr>
            <w:tcW w:type="dxa" w:w="6803"/>
          </w:tcPr>
          <w:p>
            <w:r/>
            <w:r>
              <w:rPr>
                <w:color w:val="374151"/>
                <w:sz w:val="19"/>
              </w:rPr>
              <w:t>timestamptz, nullable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processedBy</w:t>
            </w:r>
          </w:p>
        </w:tc>
        <w:tc>
          <w:tcPr>
            <w:tcW w:type="dxa" w:w="6803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FK → users, ON DELETE SET NULL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74151"/>
                <w:sz w:val="19"/>
              </w:rPr>
              <w:t>(month, year)</w:t>
            </w:r>
          </w:p>
        </w:tc>
        <w:tc>
          <w:tcPr>
            <w:tcW w:type="dxa" w:w="6803"/>
          </w:tcPr>
          <w:p>
            <w:r/>
            <w:r>
              <w:rPr>
                <w:color w:val="374151"/>
                <w:sz w:val="19"/>
              </w:rPr>
              <w:t>unique index — one run per calendar month</w:t>
            </w:r>
          </w:p>
        </w:tc>
      </w:tr>
    </w:tbl>
    <w:p/>
    <w:p>
      <w:pPr>
        <w:pStyle w:val="Heading3"/>
      </w:pPr>
      <w:r>
        <w:t>5.8 payslips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803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Type / constraint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74151"/>
                <w:sz w:val="19"/>
              </w:rPr>
              <w:t>id</w:t>
            </w:r>
          </w:p>
        </w:tc>
        <w:tc>
          <w:tcPr>
            <w:tcW w:type="dxa" w:w="6803"/>
          </w:tcPr>
          <w:p>
            <w:r/>
            <w:r>
              <w:rPr>
                <w:color w:val="374151"/>
                <w:sz w:val="19"/>
              </w:rPr>
              <w:t>serial, primary key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payrollRunId</w:t>
            </w:r>
          </w:p>
        </w:tc>
        <w:tc>
          <w:tcPr>
            <w:tcW w:type="dxa" w:w="6803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FK → payroll_runs, ON DELETE CASCADE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74151"/>
                <w:sz w:val="19"/>
              </w:rPr>
              <w:t>employeeId</w:t>
            </w:r>
          </w:p>
        </w:tc>
        <w:tc>
          <w:tcPr>
            <w:tcW w:type="dxa" w:w="6803"/>
          </w:tcPr>
          <w:p>
            <w:r/>
            <w:r>
              <w:rPr>
                <w:color w:val="374151"/>
                <w:sz w:val="19"/>
              </w:rPr>
              <w:t>FK → employees, ON DELETE CASCADE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daysPresent</w:t>
            </w:r>
          </w:p>
        </w:tc>
        <w:tc>
          <w:tcPr>
            <w:tcW w:type="dxa" w:w="6803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numeric(5,1), required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74151"/>
                <w:sz w:val="19"/>
              </w:rPr>
              <w:t>daysInMonth</w:t>
            </w:r>
          </w:p>
        </w:tc>
        <w:tc>
          <w:tcPr>
            <w:tcW w:type="dxa" w:w="6803"/>
          </w:tcPr>
          <w:p>
            <w:r/>
            <w:r>
              <w:rPr>
                <w:color w:val="374151"/>
                <w:sz w:val="19"/>
              </w:rPr>
              <w:t>integer, required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grossEarnings, totalDeductions, netPay</w:t>
            </w:r>
          </w:p>
        </w:tc>
        <w:tc>
          <w:tcPr>
            <w:tcW w:type="dxa" w:w="6803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numeric(12,2), required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74151"/>
                <w:sz w:val="19"/>
              </w:rPr>
              <w:t>breakdown</w:t>
            </w:r>
          </w:p>
        </w:tc>
        <w:tc>
          <w:tcPr>
            <w:tcW w:type="dxa" w:w="6803"/>
          </w:tcPr>
          <w:p>
            <w:r/>
            <w:r>
              <w:rPr>
                <w:color w:val="374151"/>
                <w:sz w:val="19"/>
              </w:rPr>
              <w:t>jsonb — structured earnings/deductions detail (FR-PAY-06)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generatedAt</w:t>
            </w:r>
          </w:p>
        </w:tc>
        <w:tc>
          <w:tcPr>
            <w:tcW w:type="dxa" w:w="6803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timestamptz</w:t>
            </w:r>
          </w:p>
        </w:tc>
      </w:tr>
    </w:tbl>
    <w:p/>
    <w:p>
      <w:pPr>
        <w:pStyle w:val="Heading3"/>
      </w:pPr>
      <w:r>
        <w:t>5.9 Referential integrity summary</w:t>
      </w:r>
    </w:p>
    <w:p>
      <w:r>
        <w:t>Deleting an employee cascades to its login, attendance, salary structures and payslips (all ON DELETE CASCADE). Deleting a department or designation sets the employee's corresponding field to null rather than deleting the employee (ON DELETE SET NULL). Deleting a payroll run cascades to its payslips. In normal product use, employees are deactivated rather than deleted — hard deletion of these rows is not exposed anywhere in the application UI.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r>
        <w:t>No hard SLA is currently defined. Interactive pages are expected to respond in well under a second against a roster of tens to low hundreds of employees. Running payroll processes active employees sequentially (one DB round-trip per employee); this is a known scalability limit for very large rosters and is not currently batched or parallelized.</w:t>
      </w:r>
    </w:p>
    <w:p>
      <w:pPr>
        <w:pStyle w:val="Heading2"/>
      </w:pPr>
      <w:r>
        <w:t>6.2 Security</w:t>
      </w:r>
    </w:p>
    <w:p>
      <w:pPr>
        <w:pStyle w:val="ListBullet"/>
      </w:pPr>
      <w:r>
        <w:t>Passwords are stored as bcrypt hashes (cost factor 10); plaintext passwords are never persisted.</w:t>
      </w:r>
    </w:p>
    <w:p>
      <w:pPr>
        <w:pStyle w:val="ListBullet"/>
      </w:pPr>
      <w:r>
        <w:t>Sessions are signed, stateless JWTs (AUTH_SECRET); there is no server-side session store to revoke individual sessions early.</w:t>
      </w:r>
    </w:p>
    <w:p>
      <w:pPr>
        <w:pStyle w:val="ListBullet"/>
      </w:pPr>
      <w:r>
        <w:t>Every admin-only server action independently re-verifies the caller's role, in addition to edge-middleware route protection (defense in depth).</w:t>
      </w:r>
    </w:p>
    <w:p>
      <w:pPr>
        <w:pStyle w:val="ListBullet"/>
      </w:pPr>
      <w:r>
        <w:t>Known gap: default temporary passwords are fixed, predictable strings (“Employee@123” / “Admin@123”) and are not forced to change on first login — tracked in the BRD's risk register.</w:t>
      </w:r>
    </w:p>
    <w:p>
      <w:pPr>
        <w:pStyle w:val="Heading2"/>
      </w:pPr>
      <w:r>
        <w:t>6.3 Usability</w:t>
      </w:r>
    </w:p>
    <w:p>
      <w:r>
        <w:t>Every interactive element carries a stable data-testid attribute to support automated end-to-end testing. The login screen surfaces demo credentials directly, which is appropriate for evaluation/demo environments but should be removed or gated before a production rollout.</w:t>
      </w:r>
    </w:p>
    <w:p>
      <w:pPr>
        <w:pStyle w:val="Heading2"/>
      </w:pPr>
      <w:r>
        <w:t>6.4 Reliability / availability</w:t>
      </w:r>
    </w:p>
    <w:p>
      <w:r>
        <w:t>No formal uptime SLA is defined; this is an internal tool that relies on the availability of its hosting platform (Vercel and/or managed Postgres) rather than any bespoke high-availability architecture.</w:t>
      </w:r>
    </w:p>
    <w:p>
      <w:pPr>
        <w:pStyle w:val="Heading2"/>
      </w:pPr>
      <w:r>
        <w:t>6.5 Maintainability</w:t>
      </w:r>
    </w:p>
    <w:p>
      <w:r>
        <w:t>The codebase is TypeScript end-to-end with Drizzle-inferred types from a single schema source of truth; schema changes are tracked as versioned migrations under drizzle/.</w:t>
      </w:r>
    </w:p>
    <w:p>
      <w:pPr>
        <w:pStyle w:val="Heading2"/>
      </w:pPr>
      <w:r>
        <w:t>6.6 Portability</w:t>
      </w:r>
    </w:p>
    <w:p>
      <w:r>
        <w:t>The only environment-specific dependency is a standard PostgreSQL connection string, so the same codebase runs unmodified against a local Docker Compose Postgres or a managed Postgres provider.</w:t>
      </w:r>
    </w:p>
    <w:p>
      <w:pPr>
        <w:pStyle w:val="Heading2"/>
      </w:pPr>
      <w:r>
        <w:t>6.7 Accessibility</w:t>
      </w:r>
    </w:p>
    <w:p>
      <w:r>
        <w:t>Semantic heading/table structure and a “skip to main content” link are present. No formal WCAG conformance audit has been performed; this is tracked as an open item.</w:t>
      </w:r>
    </w:p>
    <w:p>
      <w:pPr>
        <w:pStyle w:val="Heading1"/>
      </w:pPr>
      <w:r>
        <w:t>7. Other Requirements</w:t>
      </w:r>
    </w:p>
    <w:p>
      <w:pPr>
        <w:pStyle w:val="Heading2"/>
      </w:pPr>
      <w:r>
        <w:t>7.1 Legal / compliance</w:t>
      </w:r>
    </w:p>
    <w:p>
      <w:r>
        <w:t>The system stores sensitive PII (PAN numbers, bank account details) with no field-level encryption beyond the database's own, and no data-retention or erasure policy is implemented. Statutory payroll compliance — EPFO/ESIC filings, TDS computation and remittance — is explicitly out of scope; PF and PT fields are user-entered deduction amounts only, not computed against statutory slabs.</w:t>
      </w:r>
    </w:p>
    <w:p>
      <w:pPr>
        <w:pStyle w:val="Heading2"/>
      </w:pPr>
      <w:r>
        <w:t>7.2 Internationalization</w:t>
      </w:r>
    </w:p>
    <w:p>
      <w:r>
        <w:t>Currency formatting is fixed to Indian Rupees (en-IN locale) and is not currently configurable.</w:t>
      </w:r>
    </w:p>
    <w:p>
      <w:pPr>
        <w:pStyle w:val="Heading1"/>
      </w:pPr>
      <w:r>
        <w:t>Appendix A — Traceability to the Test Suite</w:t>
      </w:r>
    </w:p>
    <w:p>
      <w:r>
        <w:t>The automated Playwright suite (tests/e2e/) and the manual/automated test-case inventory (docs/SedPayroll-E2E-Test-Cases.xlsx) exercise the functional requirements in Section 3 by module: no-auth/ covers FR-AUTH, admin/ and employee/ cover FR-DASH through FR-PROF by role.</w:t>
      </w:r>
    </w:p>
    <w:p>
      <w:pPr>
        <w:pStyle w:val="Heading1"/>
      </w:pPr>
      <w:r>
        <w:t>Appendix B — Glossary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6803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74151"/>
                <w:sz w:val="19"/>
              </w:rPr>
              <w:t>CTC</w:t>
            </w:r>
          </w:p>
        </w:tc>
        <w:tc>
          <w:tcPr>
            <w:tcW w:type="dxa" w:w="6803"/>
          </w:tcPr>
          <w:p>
            <w:r/>
            <w:r>
              <w:rPr>
                <w:color w:val="374151"/>
                <w:sz w:val="19"/>
              </w:rPr>
              <w:t>Cost to Company.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HRA</w:t>
            </w:r>
          </w:p>
        </w:tc>
        <w:tc>
          <w:tcPr>
            <w:tcW w:type="dxa" w:w="6803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House Rent Allowance.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74151"/>
                <w:sz w:val="19"/>
              </w:rPr>
              <w:t>PF / PT</w:t>
            </w:r>
          </w:p>
        </w:tc>
        <w:tc>
          <w:tcPr>
            <w:tcW w:type="dxa" w:w="6803"/>
          </w:tcPr>
          <w:p>
            <w:r/>
            <w:r>
              <w:rPr>
                <w:color w:val="374151"/>
                <w:sz w:val="19"/>
              </w:rPr>
              <w:t>Provident Fund / Professional Tax.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LOP</w:t>
            </w:r>
          </w:p>
        </w:tc>
        <w:tc>
          <w:tcPr>
            <w:tcW w:type="dxa" w:w="6803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Loss of Pay.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374151"/>
                <w:sz w:val="19"/>
              </w:rPr>
              <w:t>RBAC</w:t>
            </w:r>
          </w:p>
        </w:tc>
        <w:tc>
          <w:tcPr>
            <w:tcW w:type="dxa" w:w="6803"/>
          </w:tcPr>
          <w:p>
            <w:r/>
            <w:r>
              <w:rPr>
                <w:color w:val="374151"/>
                <w:sz w:val="19"/>
              </w:rPr>
              <w:t>Role-Based Access Control.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JWT</w:t>
            </w:r>
          </w:p>
        </w:tc>
        <w:tc>
          <w:tcPr>
            <w:tcW w:type="dxa" w:w="6803"/>
            <w:shd w:val="clear" w:color="auto" w:fill="EEF2FF"/>
          </w:tcPr>
          <w:p>
            <w:r/>
            <w:r>
              <w:rPr>
                <w:color w:val="374151"/>
                <w:sz w:val="19"/>
              </w:rPr>
              <w:t>JSON Web Token.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8"/>
      </w:rPr>
      <w:t xml:space="preserve">Page </w:t>
    </w:r>
    <w:r>
      <w:rPr>
        <w:color w:val="6B728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6B7280"/>
        <w:sz w:val="18"/>
      </w:rPr>
      <w:t xml:space="preserve"> of </w:t>
    </w:r>
    <w:r>
      <w:rPr>
        <w:color w:val="6B7280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7415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312E8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312E8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338C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7415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