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jpg" ContentType="image/jpeg"/>
  <Override PartName="/word/media/rId53.jpg" ContentType="image/jpeg"/>
  <Override PartName="/word/media/rId45.jpg" ContentType="image/jpeg"/>
  <Override PartName="/word/media/rId50.jpg" ContentType="image/jpeg"/>
  <Override PartName="/word/media/rId51.jpg" ContentType="image/jpeg"/>
  <Override PartName="/word/media/rId43.jpg" ContentType="image/jpeg"/>
  <Override PartName="/word/media/rId42.jpg" ContentType="image/jpeg"/>
  <Override PartName="/word/media/rId44.jpg" ContentType="image/jpeg"/>
  <Override PartName="/word/media/rId35.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Subsoil:</w:t>
      </w:r>
      <w:r>
        <w:t xml:space="preserve"> </w:t>
      </w:r>
      <w:r>
        <w:t xml:space="preserve">Valuing</w:t>
      </w:r>
      <w:r>
        <w:t xml:space="preserve"> </w:t>
      </w:r>
      <w:r>
        <w:t xml:space="preserve">what</w:t>
      </w:r>
      <w:r>
        <w:t xml:space="preserve"> </w:t>
      </w:r>
      <w:r>
        <w:t xml:space="preserve">lies</w:t>
      </w:r>
      <w:r>
        <w:t xml:space="preserve"> </w:t>
      </w:r>
      <w:r>
        <w:t xml:space="preserve">beneath</w:t>
      </w:r>
      <w:r>
        <w:t xml:space="preserve"> </w:t>
      </w:r>
      <w:r>
        <w:t xml:space="preserve">the</w:t>
      </w:r>
      <w:r>
        <w:t xml:space="preserve"> </w:t>
      </w:r>
      <w:r>
        <w:t xml:space="preserve">surface</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r>
        <w:t xml:space="preserve">Toggle navigation</w:t>
      </w:r>
      <w:r>
        <w:t xml:space="preserve"> </w:t>
      </w:r>
      <w:r>
        <w:t xml:space="preserve"> </w:t>
      </w:r>
      <w:r>
        <w:t xml:space="preserve"> </w:t>
      </w:r>
    </w:p>
    <w:p>
      <w:pPr>
        <w:pStyle w:val="Compact"/>
      </w:pPr>
      <w:hyperlink r:id="rId21">
        <w:r>
          <w:rPr>
            <w:rStyle w:val="Hyperlink"/>
          </w:rPr>
          <w:t xml:space="preserve">SEEA Guatemala</w:t>
        </w:r>
      </w:hyperlink>
    </w:p>
    <w:p>
      <w:pPr>
        <w:pStyle w:val="Compact"/>
        <w:numPr>
          <w:numId w:val="1001"/>
          <w:ilvl w:val="0"/>
        </w:numPr>
      </w:pPr>
      <w:hyperlink r:id="rId22">
        <w:r>
          <w:rPr>
            <w:rStyle w:val="Hyperlink"/>
          </w:rPr>
          <w:t xml:space="preserve">Topics</w:t>
        </w:r>
      </w:hyperlink>
    </w:p>
    <w:p>
      <w:pPr>
        <w:pStyle w:val="Compact"/>
        <w:numPr>
          <w:numId w:val="1002"/>
          <w:ilvl w:val="1"/>
        </w:numPr>
      </w:pPr>
      <w:hyperlink r:id="rId23">
        <w:r>
          <w:rPr>
            <w:rStyle w:val="Hyperlink"/>
          </w:rPr>
          <w:t xml:space="preserve">SEEA Overview</w:t>
        </w:r>
      </w:hyperlink>
    </w:p>
    <w:p>
      <w:pPr>
        <w:pStyle w:val="Compact"/>
        <w:numPr>
          <w:numId w:val="1002"/>
          <w:ilvl w:val="1"/>
        </w:numPr>
      </w:pPr>
      <w:hyperlink r:id="rId24">
        <w:r>
          <w:rPr>
            <w:rStyle w:val="Hyperlink"/>
          </w:rPr>
          <w:t xml:space="preserve">Agriculture, Forestry, and Fisheries</w:t>
        </w:r>
      </w:hyperlink>
    </w:p>
    <w:p>
      <w:pPr>
        <w:pStyle w:val="Compact"/>
        <w:numPr>
          <w:numId w:val="1002"/>
          <w:ilvl w:val="1"/>
        </w:numPr>
      </w:pPr>
      <w:hyperlink r:id="rId25">
        <w:r>
          <w:rPr>
            <w:rStyle w:val="Hyperlink"/>
          </w:rPr>
          <w:t xml:space="preserve">Forests</w:t>
        </w:r>
      </w:hyperlink>
    </w:p>
    <w:p>
      <w:pPr>
        <w:pStyle w:val="Compact"/>
        <w:numPr>
          <w:numId w:val="1002"/>
          <w:ilvl w:val="1"/>
        </w:numPr>
      </w:pPr>
      <w:hyperlink r:id="rId26">
        <w:r>
          <w:rPr>
            <w:rStyle w:val="Hyperlink"/>
          </w:rPr>
          <w:t xml:space="preserve">Water</w:t>
        </w:r>
      </w:hyperlink>
    </w:p>
    <w:p>
      <w:pPr>
        <w:pStyle w:val="Compact"/>
        <w:numPr>
          <w:numId w:val="1002"/>
          <w:ilvl w:val="1"/>
        </w:numPr>
      </w:pPr>
      <w:hyperlink r:id="rId27">
        <w:r>
          <w:rPr>
            <w:rStyle w:val="Hyperlink"/>
          </w:rPr>
          <w:t xml:space="preserve">Land and Ecosystems</w:t>
        </w:r>
      </w:hyperlink>
    </w:p>
    <w:p>
      <w:pPr>
        <w:pStyle w:val="Compact"/>
        <w:numPr>
          <w:numId w:val="1002"/>
          <w:ilvl w:val="1"/>
        </w:numPr>
      </w:pPr>
      <w:hyperlink r:id="rId28">
        <w:r>
          <w:rPr>
            <w:rStyle w:val="Hyperlink"/>
          </w:rPr>
          <w:t xml:space="preserve">Waste</w:t>
        </w:r>
      </w:hyperlink>
    </w:p>
    <w:p>
      <w:pPr>
        <w:pStyle w:val="Compact"/>
        <w:numPr>
          <w:numId w:val="1002"/>
          <w:ilvl w:val="1"/>
        </w:numPr>
      </w:pPr>
      <w:hyperlink r:id="rId29">
        <w:r>
          <w:rPr>
            <w:rStyle w:val="Hyperlink"/>
          </w:rPr>
          <w:t xml:space="preserve">Subsoil</w:t>
        </w:r>
      </w:hyperlink>
    </w:p>
    <w:p>
      <w:pPr>
        <w:pStyle w:val="Compact"/>
        <w:numPr>
          <w:numId w:val="1002"/>
          <w:ilvl w:val="1"/>
        </w:numPr>
      </w:pPr>
      <w:hyperlink r:id="rId30">
        <w:r>
          <w:rPr>
            <w:rStyle w:val="Hyperlink"/>
          </w:rPr>
          <w:t xml:space="preserve">Fisheries</w:t>
        </w:r>
      </w:hyperlink>
    </w:p>
    <w:p>
      <w:pPr>
        <w:pStyle w:val="Compact"/>
        <w:numPr>
          <w:numId w:val="1002"/>
          <w:ilvl w:val="1"/>
        </w:numPr>
      </w:pPr>
      <w:hyperlink r:id="rId31">
        <w:r>
          <w:rPr>
            <w:rStyle w:val="Hyperlink"/>
          </w:rPr>
          <w:t xml:space="preserve">Energy</w:t>
        </w:r>
      </w:hyperlink>
    </w:p>
    <w:p>
      <w:pPr>
        <w:pStyle w:val="Compact"/>
        <w:numPr>
          <w:numId w:val="1003"/>
          <w:ilvl w:val="0"/>
        </w:numPr>
      </w:pPr>
      <w:hyperlink r:id="rId32">
        <w:r>
          <w:rPr>
            <w:rStyle w:val="Hyperlink"/>
          </w:rPr>
          <w:t xml:space="preserve">Credits</w:t>
        </w:r>
      </w:hyperlink>
    </w:p>
    <w:p>
      <w:pPr>
        <w:pStyle w:val="Heading1"/>
      </w:pPr>
      <w:bookmarkStart w:id="33" w:name="subsoil"/>
      <w:bookmarkEnd w:id="33"/>
      <w:r>
        <w:t xml:space="preserve">Subsoil</w:t>
      </w:r>
    </w:p>
    <w:p>
      <w:pPr>
        <w:pStyle w:val="Heading3"/>
      </w:pPr>
      <w:bookmarkStart w:id="34" w:name="valuing-what-lies-beneath-the-surface"/>
      <w:bookmarkEnd w:id="34"/>
      <w:r>
        <w:t xml:space="preserve">Valuing what lies beneath the surface</w:t>
      </w:r>
    </w:p>
    <w:p>
      <w:pPr>
        <w:pStyle w:val="Compact"/>
      </w:pPr>
      <w:r>
        <w:drawing>
          <wp:inline>
            <wp:extent cx="3594100" cy="3594100"/>
            <wp:effectExtent b="0" l="0" r="0" t="0"/>
            <wp:docPr descr="" id="1" name="Picture"/>
            <a:graphic>
              <a:graphicData uri="http://schemas.openxmlformats.org/drawingml/2006/picture">
                <pic:pic>
                  <pic:nvPicPr>
                    <pic:cNvPr descr="../../img/chiclet-subsoil.png" id="0" name="Picture"/>
                    <pic:cNvPicPr>
                      <a:picLocks noChangeArrowheads="1" noChangeAspect="1"/>
                    </pic:cNvPicPr>
                  </pic:nvPicPr>
                  <pic:blipFill>
                    <a:blip r:embed="rId35"/>
                    <a:stretch>
                      <a:fillRect/>
                    </a:stretch>
                  </pic:blipFill>
                  <pic:spPr bwMode="auto">
                    <a:xfrm>
                      <a:off x="0" y="0"/>
                      <a:ext cx="3594100" cy="3594100"/>
                    </a:xfrm>
                    <a:prstGeom prst="rect">
                      <a:avLst/>
                    </a:prstGeom>
                    <a:noFill/>
                    <a:ln w="9525">
                      <a:noFill/>
                      <a:headEnd/>
                      <a:tailEnd/>
                    </a:ln>
                  </pic:spPr>
                </pic:pic>
              </a:graphicData>
            </a:graphic>
          </wp:inline>
        </w:drawing>
      </w:r>
    </w:p>
    <w:p>
      <w:pPr>
        <w:pStyle w:val="Compact"/>
      </w:pPr>
      <w:hyperlink r:id="rId36">
        <w:r>
          <w:rPr>
            <w:rStyle w:val="Hyperlink"/>
          </w:rPr>
          <w:t xml:space="preserve">Read Online</w:t>
        </w:r>
      </w:hyperlink>
      <w:r>
        <w:br w:type="textWrapping"/>
      </w:r>
    </w:p>
    <w:p>
      <w:pPr>
        <w:pStyle w:val="Compact"/>
      </w:pPr>
      <w:hyperlink r:id="rId37">
        <w:r>
          <w:rPr>
            <w:rStyle w:val="Hyperlink"/>
          </w:rPr>
          <w:t xml:space="preserve">PDF</w:t>
        </w:r>
      </w:hyperlink>
      <w:r>
        <w:br w:type="textWrapping"/>
      </w:r>
    </w:p>
    <w:p>
      <w:r>
        <w:pict>
          <v:rect style="width:0;height:1.5pt" o:hralign="center" o:hrstd="t" o:hr="t"/>
        </w:pict>
      </w:r>
    </w:p>
    <w:p>
      <w:pPr>
        <w:pStyle w:val="Heading4"/>
      </w:pPr>
      <w:bookmarkStart w:id="38" w:name="institutional-credits"/>
      <w:bookmarkEnd w:id="38"/>
      <w:hyperlink r:id="rId32">
        <w:r>
          <w:rPr>
            <w:rStyle w:val="Hyperlink"/>
          </w:rPr>
          <w:t xml:space="preserve">Institutional Credits</w:t>
        </w:r>
      </w:hyperlink>
    </w:p>
    <w:p>
      <w:pPr>
        <w:pStyle w:val="Heading2"/>
      </w:pPr>
      <w:bookmarkStart w:id="39" w:name="section"/>
      <w:bookmarkEnd w:id="39"/>
      <w:r>
        <w:t xml:space="preserve">* * *</w:t>
      </w:r>
    </w:p>
    <w:p>
      <w:pPr>
        <w:pStyle w:val="FirstParagraph"/>
      </w:pPr>
      <w:r>
        <w:rPr>
          <w:i/>
        </w:rPr>
        <w:t xml:space="preserve">The industries related to subsoil resources contributed between 1.94% and 2.34% of GDP annually in the analyzed years, specially owing to the non-metallic minerals extraction industry. Conversely, oil extraction was the largest use of these resources in physical terms.</w:t>
      </w:r>
    </w:p>
    <w:p>
      <w:r>
        <w:pict>
          <v:rect style="width:0;height:1.5pt" o:hralign="center" o:hrstd="t" o:hr="t"/>
        </w:pict>
      </w:r>
    </w:p>
    <w:p>
      <w:pPr>
        <w:pStyle w:val="Heading2"/>
      </w:pPr>
      <w:bookmarkStart w:id="40" w:name="what-is-subsoil-resources-accounting:92c894dfe13dc21cd34992e774929ed6"/>
      <w:bookmarkEnd w:id="40"/>
      <w:r>
        <w:t xml:space="preserve">What is Subsoil Resources Accounting?</w:t>
      </w:r>
    </w:p>
    <w:p>
      <w:pPr>
        <w:pStyle w:val="FirstParagraph"/>
      </w:pPr>
      <w:r>
        <w:t xml:space="preserve">The subsoil resources account of Guatemala is a framework that provides information on the availability of stocks of these resources and how they are used by the economy. It links information on economic transactions and integrates it with the physical information on subsoil resource flows. In particular subsoil resources accounting:</w:t>
      </w:r>
    </w:p>
    <w:p>
      <w:pPr>
        <w:pStyle w:val="Compact"/>
        <w:numPr>
          <w:numId w:val="1004"/>
          <w:ilvl w:val="0"/>
        </w:numPr>
      </w:pPr>
      <w:r>
        <w:t xml:space="preserve">Takes inventory of subsoil resources in the country. Specifically, of metallic minerals, non-metallic minerals, and hydrocarbons.</w:t>
      </w:r>
    </w:p>
    <w:p>
      <w:pPr>
        <w:pStyle w:val="Compact"/>
        <w:numPr>
          <w:numId w:val="1004"/>
          <w:ilvl w:val="0"/>
        </w:numPr>
      </w:pPr>
      <w:r>
        <w:t xml:space="preserve">Accounts for flows of subsoil resources between the environment, the economy, and the various stakeholders in the economy.</w:t>
      </w:r>
    </w:p>
    <w:p>
      <w:pPr>
        <w:pStyle w:val="Compact"/>
        <w:numPr>
          <w:numId w:val="1004"/>
          <w:ilvl w:val="0"/>
        </w:numPr>
      </w:pPr>
      <w:r>
        <w:t xml:space="preserve">Quantifies expenditures made in order to mitigate and prevent impacts generated by the extraction of subsoil resources.</w:t>
      </w:r>
    </w:p>
    <w:p>
      <w:pPr>
        <w:pStyle w:val="Compact"/>
        <w:numPr>
          <w:numId w:val="1004"/>
          <w:ilvl w:val="0"/>
        </w:numPr>
      </w:pPr>
      <w:r>
        <w:t xml:space="preserve">Provides a set of indicators in order to evaluate the environmental and economic performance of all these relationships.</w:t>
      </w:r>
    </w:p>
    <w:p>
      <w:pPr>
        <w:pStyle w:val="Heading2"/>
      </w:pPr>
      <w:bookmarkStart w:id="41" w:name="what-are-the-general-trends-regarding-the-extraction-of-subsoil-resources:92c894dfe13dc21cd34992e774929ed6"/>
      <w:bookmarkEnd w:id="41"/>
      <w:r>
        <w:t xml:space="preserve">What are the general trends regarding the extraction of subsoil resources?</w:t>
      </w:r>
    </w:p>
    <w:p>
      <w:pPr>
        <w:pStyle w:val="FirstParagraph"/>
      </w:pPr>
      <w:r>
        <w:t xml:space="preserve">Between 2001 and 2006, the Guatemalan economy extracted 284 million metric tons of subsoil assets from the ground, of which 54% (152 million metric tons) were hydrocarbons. About 45% of the total was non-metallic minerals, which are used mainly by the construction industry and some manufacturing processes. The remaining 1% corresponded roughly to metallic minerals.</w:t>
      </w:r>
    </w:p>
    <w:p>
      <w:pPr>
        <w:pStyle w:val="BodyText"/>
      </w:pPr>
      <w:r>
        <w:t xml:space="preserve">Midway during the analysis period both hydrocarbon and non-metallic mineral extraction changed their growing trend and started a contraction phase. This happened after 2003 in the first case, and from 2004 onwards for the second. By 2006 hydrocarbon extraction represented about 65% of the highest level it had reached three years earlier. Non-metallic minerals saw a 29% reduction, in comparison to the levels of 2003. Metallic minerals showed no defined tendency.</w:t>
      </w:r>
    </w:p>
    <w:p>
      <w:r>
        <w:pict>
          <v:rect style="width:0;height:1.5pt" o:hralign="center" o:hrstd="t" o:hr="t"/>
        </w:pict>
      </w:r>
    </w:p>
    <w:p>
      <w:pPr>
        <w:pStyle w:val="FirstParagraph"/>
      </w:pPr>
      <w:r>
        <w:drawing>
          <wp:inline>
            <wp:extent cx="5334000" cy="2663636"/>
            <wp:effectExtent b="0" l="0" r="0" t="0"/>
            <wp:docPr descr="" id="1" name="Picture"/>
            <a:graphic>
              <a:graphicData uri="http://schemas.openxmlformats.org/drawingml/2006/picture">
                <pic:pic>
                  <pic:nvPicPr>
                    <pic:cNvPr descr="../../float/subsoil/subsoil-output-byasset.jpg" id="0" name="Picture"/>
                    <pic:cNvPicPr>
                      <a:picLocks noChangeArrowheads="1" noChangeAspect="1"/>
                    </pic:cNvPicPr>
                  </pic:nvPicPr>
                  <pic:blipFill>
                    <a:blip r:embed="rId42"/>
                    <a:stretch>
                      <a:fillRect/>
                    </a:stretch>
                  </pic:blipFill>
                  <pic:spPr bwMode="auto">
                    <a:xfrm>
                      <a:off x="0" y="0"/>
                      <a:ext cx="5334000" cy="2663636"/>
                    </a:xfrm>
                    <a:prstGeom prst="rect">
                      <a:avLst/>
                    </a:prstGeom>
                    <a:noFill/>
                    <a:ln w="9525">
                      <a:noFill/>
                      <a:headEnd/>
                      <a:tailEnd/>
                    </a:ln>
                  </pic:spPr>
                </pic:pic>
              </a:graphicData>
            </a:graphic>
          </wp:inline>
        </w:drawing>
      </w:r>
      <w:r>
        <w:t xml:space="preserve"> </w:t>
      </w:r>
      <w:r>
        <w:rPr>
          <w:i/>
        </w:rPr>
        <w:t xml:space="preserve">Figure 1. Subsoil resource extraction by type of asset (metric tons)</w:t>
      </w:r>
    </w:p>
    <w:p>
      <w:r>
        <w:pict>
          <v:rect style="width:0;height:1.5pt" o:hralign="center" o:hrstd="t" o:hr="t"/>
        </w:pict>
      </w:r>
    </w:p>
    <w:p>
      <w:pPr>
        <w:pStyle w:val="FirstParagraph"/>
      </w:pPr>
      <w:r>
        <w:t xml:space="preserve">Subsoil resources stocks vary negatively as a result from extraction and positively when new discoveries are made. In the case of Guatemala, extractions usually surpass new discoveries so we can see a general downward trend of these stocks. Hydrocarbons, for example, saw a 5% reduction in their availability as a result of extraction, going from 2,861 million metric tons in 2001 to 2,729 in 2006. Non-metallic and metallic minerals saw a 1% reduction by 2006, compared to their stocks in 2001.</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subsoil/subsoil-opening-stocks.jpg" id="0" name="Picture"/>
                    <pic:cNvPicPr>
                      <a:picLocks noChangeArrowheads="1" noChangeAspect="1"/>
                    </pic:cNvPicPr>
                  </pic:nvPicPr>
                  <pic:blipFill>
                    <a:blip r:embed="rId43"/>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2. Yearly opening stocks of subsoil resources (percentages 2001= 100%)</w:t>
      </w:r>
    </w:p>
    <w:p>
      <w:r>
        <w:pict>
          <v:rect style="width:0;height:1.5pt" o:hralign="center" o:hrstd="t" o:hr="t"/>
        </w:pict>
      </w:r>
    </w:p>
    <w:p>
      <w:pPr>
        <w:pStyle w:val="FirstParagraph"/>
      </w:pPr>
      <w:r>
        <w:t xml:space="preserve">The supply of subsoil resources is overwhelmingly dominated by hydrocarbons and non-metallic minerals in comparison with metallic minerals. In the case of hydrocarbons, total supply varied between 19,623 and 30,856 thousands of metric tons annually between 2001 and 2006. This was equivalent to 42% and 59% of total supply, respectively. Non-metallic minerals shows a similar performance. In some years, the supply of these minerals has surpassed that of hydrocarbons, reaching 50% of total subsoil resources supply. Physical supply of metallic minerals has been considerably lower to that of the other two groups. In our analysis years, its relative importance oscillated between 0.2% and 5.8% of total supply.</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subsoil/subsoil-physical-supply.jpg" id="0" name="Picture"/>
                    <pic:cNvPicPr>
                      <a:picLocks noChangeArrowheads="1" noChangeAspect="1"/>
                    </pic:cNvPicPr>
                  </pic:nvPicPr>
                  <pic:blipFill>
                    <a:blip r:embed="rId44"/>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3. Physical supply of subsoil resources (thousands of metric tons)</w:t>
      </w:r>
    </w:p>
    <w:p>
      <w:r>
        <w:pict>
          <v:rect style="width:0;height:1.5pt" o:hralign="center" o:hrstd="t" o:hr="t"/>
        </w:pict>
      </w:r>
    </w:p>
    <w:p>
      <w:pPr>
        <w:pStyle w:val="FirstParagraph"/>
      </w:pPr>
      <w:r>
        <w:t xml:space="preserve">Total supply has a locally produced component and an imported one. For hydrocarbons and non-metallic minerals the imported portion is not relevant. However, in the case of metallic minerals, imports reached as much as 78% of total supply in 2005 and 48% in the entire period. In contrast, hydrocarbons and non-metallic minerals imported 2% and 8% of total supply from 2001 to 2006, respectively.</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subsoil/subsoil-metallic-outputvsimports.jpg" id="0" name="Picture"/>
                    <pic:cNvPicPr>
                      <a:picLocks noChangeArrowheads="1" noChangeAspect="1"/>
                    </pic:cNvPicPr>
                  </pic:nvPicPr>
                  <pic:blipFill>
                    <a:blip r:embed="rId45"/>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4. Output vs import of metallic minerals, 2001-2006 (thousands of metric tons)</w:t>
      </w:r>
    </w:p>
    <w:p>
      <w:r>
        <w:pict>
          <v:rect style="width:0;height:1.5pt" o:hralign="center" o:hrstd="t" o:hr="t"/>
        </w:pict>
      </w:r>
    </w:p>
    <w:p>
      <w:pPr>
        <w:pStyle w:val="Heading2"/>
      </w:pPr>
      <w:bookmarkStart w:id="46" w:name="ok-that-is-supply-but-how-are-subsoil-resources-used:92c894dfe13dc21cd34992e774929ed6"/>
      <w:bookmarkEnd w:id="46"/>
      <w:r>
        <w:t xml:space="preserve">Ok, that is supply, but how are subsoil resources used?</w:t>
      </w:r>
    </w:p>
    <w:p>
      <w:pPr>
        <w:pStyle w:val="FirstParagraph"/>
      </w:pPr>
      <w:r>
        <w:t xml:space="preserve">Subsoil resources are mostly used as inputs in industrial processes, both from local companies, as well as from abroad. Households consumed between 217 and 354 thousands of metric tons annually in our analysis years. That was equivalent to less than 1% of total supply in any year, which consists of up to 99% of resources for construction processes, such as limestone. In contrast, their use as exports and as inputs in other industries, which we term “intermediate consumption”, reached between 73% and 84% of total use in the analysis period.</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subsoil/subsoil-by-usetype.jpg" id="0" name="Picture"/>
                    <pic:cNvPicPr>
                      <a:picLocks noChangeArrowheads="1" noChangeAspect="1"/>
                    </pic:cNvPicPr>
                  </pic:nvPicPr>
                  <pic:blipFill>
                    <a:blip r:embed="rId47"/>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5. Subsoil resource use between 2001 and 2006 (thousands of metric tons)</w:t>
      </w:r>
    </w:p>
    <w:p>
      <w:r>
        <w:pict>
          <v:rect style="width:0;height:1.5pt" o:hralign="center" o:hrstd="t" o:hr="t"/>
        </w:pict>
      </w:r>
    </w:p>
    <w:p>
      <w:pPr>
        <w:pStyle w:val="Heading2"/>
      </w:pPr>
      <w:bookmarkStart w:id="48" w:name="and-which-industries-use-the-most-subsoil-resources:92c894dfe13dc21cd34992e774929ed6"/>
      <w:bookmarkEnd w:id="48"/>
      <w:r>
        <w:t xml:space="preserve">And which industries use the most subsoil resources?</w:t>
      </w:r>
    </w:p>
    <w:p>
      <w:pPr>
        <w:pStyle w:val="FirstParagraph"/>
      </w:pPr>
      <w:r>
        <w:t xml:space="preserve">When we analyze the above mentioned intermediate consumption, or the use of products as inputs in production processes of other industries, it is possible to dig deeper and disaggregate the industries that are the largest users of these resources. In the case of these products, there are six industries out of the 123 identified in the Guatemalan economy that represent 93% of total demand. The remaining industries used about 9 million metric tons of subsoil resources, or about 8% of total intermediate consumption. We group the most important six in three groups:</w:t>
      </w:r>
    </w:p>
    <w:p>
      <w:pPr>
        <w:pStyle w:val="Compact"/>
        <w:numPr>
          <w:numId w:val="1005"/>
          <w:ilvl w:val="0"/>
        </w:numPr>
      </w:pPr>
      <w:r>
        <w:t xml:space="preserve">Oil refinement, which process oil into different types of fuels. This group is responsible for 46% of total intermediate consumption in our analysis years, using about 61 million metric tons of hydrocarbons.</w:t>
      </w:r>
    </w:p>
    <w:p>
      <w:pPr>
        <w:pStyle w:val="Compact"/>
        <w:numPr>
          <w:numId w:val="1005"/>
          <w:ilvl w:val="0"/>
        </w:numPr>
      </w:pPr>
      <w:r>
        <w:t xml:space="preserve">Industries related to construction, such as construction itself, cement production, prefabricated concrete products, and structural ceramic products. These industries used about 55 million metric tons, or about 42% of total intermediate consumption in the entire analysis period.</w:t>
      </w:r>
    </w:p>
    <w:p>
      <w:pPr>
        <w:pStyle w:val="Compact"/>
        <w:numPr>
          <w:numId w:val="1005"/>
          <w:ilvl w:val="0"/>
        </w:numPr>
      </w:pPr>
      <w:r>
        <w:t xml:space="preserve">The production of electricity used about 4% of intermediate consumption.</w:t>
      </w:r>
    </w:p>
    <w:p>
      <w:pPr>
        <w:pStyle w:val="Heading2"/>
      </w:pPr>
      <w:bookmarkStart w:id="49" w:name="how-valuable-are-subsoil-resources:92c894dfe13dc21cd34992e774929ed6"/>
      <w:bookmarkEnd w:id="49"/>
      <w:r>
        <w:t xml:space="preserve">How valuable are subsoil resources?</w:t>
      </w:r>
    </w:p>
    <w:p>
      <w:pPr>
        <w:pStyle w:val="FirstParagraph"/>
      </w:pPr>
      <w:r>
        <w:t xml:space="preserve">We analyze the value of subsoil resources from the perspective of the valuation of their stocks. When comparing opening stocks, we see a 134 million metric tons reduction from 2001 to 2006, or about 4% of the total. The biggest reduction occurred in hydrocarbons. But the value of that stock might change because of market circumstances and it might fluctuate even if physical stocks remain the same. We see one such revaluation of Guatemala’s stocks in the accounting period.</w:t>
      </w:r>
    </w:p>
    <w:p>
      <w:pPr>
        <w:pStyle w:val="BodyText"/>
      </w:pPr>
      <w:r>
        <w:t xml:space="preserve">In the case of hydrocarbons, for example, the opening stock valuation rose from 179,679 million quetzales (GTQ) in 2001 to GTQ 491,336 million, in spite of stock reductions and not attributable to inflation. This situation is explained by a rising trend in international oil prices. Non-metallic minerals, there was a relevant change in valuation from the opening stock of 2004, which was valued at GTQ 23,477 million, to the opening stock of 2006, valued at GTQ 60,949 million. A similar situation occurred with metallic minerals, but in a more discrete manner.</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subsoil/subsoil-opening-stock-performance-a.jpg" id="0" name="Picture"/>
                    <pic:cNvPicPr>
                      <a:picLocks noChangeArrowheads="1" noChangeAspect="1"/>
                    </pic:cNvPicPr>
                  </pic:nvPicPr>
                  <pic:blipFill>
                    <a:blip r:embed="rId50"/>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drawing>
          <wp:inline>
            <wp:extent cx="5334000" cy="2670363"/>
            <wp:effectExtent b="0" l="0" r="0" t="0"/>
            <wp:docPr descr="" id="1" name="Picture"/>
            <a:graphic>
              <a:graphicData uri="http://schemas.openxmlformats.org/drawingml/2006/picture">
                <pic:pic>
                  <pic:nvPicPr>
                    <pic:cNvPr descr="../../float/subsoil/subsoil-opening-stock-performance-b.jpg" id="0" name="Picture"/>
                    <pic:cNvPicPr>
                      <a:picLocks noChangeArrowheads="1" noChangeAspect="1"/>
                    </pic:cNvPicPr>
                  </pic:nvPicPr>
                  <pic:blipFill>
                    <a:blip r:embed="rId51"/>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6. Opening stock performance a) physical and b) monetary (million metric tons and million GTQ)</w:t>
      </w:r>
    </w:p>
    <w:p>
      <w:r>
        <w:pict>
          <v:rect style="width:0;height:1.5pt" o:hralign="center" o:hrstd="t" o:hr="t"/>
        </w:pict>
      </w:r>
    </w:p>
    <w:p>
      <w:pPr>
        <w:pStyle w:val="Heading2"/>
      </w:pPr>
      <w:bookmarkStart w:id="52" w:name="what-are-the-economic-benefits-of-extracting-subsoil-resources:92c894dfe13dc21cd34992e774929ed6"/>
      <w:bookmarkEnd w:id="52"/>
      <w:r>
        <w:t xml:space="preserve">What are the economic benefits of extracting subsoil resources?</w:t>
      </w:r>
    </w:p>
    <w:p>
      <w:pPr>
        <w:pStyle w:val="FirstParagraph"/>
      </w:pPr>
      <w:r>
        <w:t xml:space="preserve">In Guatemala, from 2001 to 2006 there was a flow of subsoil resources ranging between GTQ 3,392 million and GTQ 5,014 million, at each year’s prices. During the analysis years, industries related these resources increased their contribution to the Guatemalan economy by 90%, going from GTQ 2,852 million in 2001 to about GTQ 5,427 million in 2006. Full time equivalent jobs went from 64,236 to 87,025 annually in the same years. Over 40,000 of these jobs were generated in the non-metallic minerals extraction industry. In the case of exports, there is a clear jump from 2005 to 2006 due to the beginning of operations in gold mining from GTQ 1,835 million to GTQ2,768 million. But from all subsoil resources, oil production represented 66% of the value of exports in 2006, while gold and silver represented 27% and 5%, respectively.</w:t>
      </w:r>
    </w:p>
    <w:p>
      <w:pPr>
        <w:pStyle w:val="BodyText"/>
      </w:pPr>
      <w:r>
        <w:t xml:space="preserve">All industries related to subsoil resources contributed between 1.94% and 2.34% of GDP annually in the analysis years. From these, the largest value corresponds to products from non-metallic minerals, which averaged 1.05% of GDP. Oil extraction showed the most dynamic performance, going from 0.27% of GDP in 2001 to 0.65% in 2006; an annual average of 0.53% in all six years. The remaining industries represented about 0.20% of GDP annually.</w:t>
      </w:r>
    </w:p>
    <w:p>
      <w:r>
        <w:pict>
          <v:rect style="width:0;height:1.5pt" o:hralign="center" o:hrstd="t" o:hr="t"/>
        </w:pict>
      </w:r>
    </w:p>
    <w:p>
      <w:pPr>
        <w:pStyle w:val="FirstParagraph"/>
      </w:pPr>
      <w:r>
        <w:drawing>
          <wp:inline>
            <wp:extent cx="5334000" cy="2670363"/>
            <wp:effectExtent b="0" l="0" r="0" t="0"/>
            <wp:docPr descr="" id="1" name="Picture"/>
            <a:graphic>
              <a:graphicData uri="http://schemas.openxmlformats.org/drawingml/2006/picture">
                <pic:pic>
                  <pic:nvPicPr>
                    <pic:cNvPr descr="../../float/subsoil/subsoil-contrib-gdp.jpg" id="0" name="Picture"/>
                    <pic:cNvPicPr>
                      <a:picLocks noChangeArrowheads="1" noChangeAspect="1"/>
                    </pic:cNvPicPr>
                  </pic:nvPicPr>
                  <pic:blipFill>
                    <a:blip r:embed="rId53"/>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r>
        <w:rPr>
          <w:i/>
        </w:rPr>
        <w:t xml:space="preserve">Figure 7. Industries related to subsoil resources and their contribution to wealth (percentage of GDP)</w:t>
      </w:r>
    </w:p>
    <w:p>
      <w:r>
        <w:pict>
          <v:rect style="width:0;height:1.5pt" o:hralign="center" o:hrstd="t" o:hr="t"/>
        </w:pict>
      </w:r>
    </w:p>
    <w:p>
      <w:pPr>
        <w:pStyle w:val="Heading2"/>
      </w:pPr>
      <w:bookmarkStart w:id="54" w:name="final-thoughts:92c894dfe13dc21cd34992e774929ed6"/>
      <w:bookmarkEnd w:id="54"/>
      <w:r>
        <w:t xml:space="preserve">Final thoughts</w:t>
      </w:r>
    </w:p>
    <w:p>
      <w:pPr>
        <w:pStyle w:val="FirstParagraph"/>
      </w:pPr>
      <w:r>
        <w:t xml:space="preserve">In this essay we introduced environmental and economic accounting of subsoil resources as a framework that provides information on the availability of stocks of these resources and how they are used by the economy. Some interesting findings of this exercise reveal that:</w:t>
      </w:r>
    </w:p>
    <w:p>
      <w:pPr>
        <w:pStyle w:val="Compact"/>
        <w:numPr>
          <w:numId w:val="1006"/>
          <w:ilvl w:val="0"/>
        </w:numPr>
      </w:pPr>
      <w:r>
        <w:t xml:space="preserve">Between 2001 and 2006 the extractive industries, both local as well as foreign, supplied an annual average of 50 million metric tons of hydrocarbons, metallic minerals and non-metallic minerals, of which, about 95% come from national companies and 5% from imports.</w:t>
      </w:r>
    </w:p>
    <w:p>
      <w:pPr>
        <w:pStyle w:val="Compact"/>
        <w:numPr>
          <w:numId w:val="1006"/>
          <w:ilvl w:val="0"/>
        </w:numPr>
      </w:pPr>
      <w:r>
        <w:t xml:space="preserve">About an annual 44% of these resources were used as inputs in the production of other goods and services, while 34% became exports, 22% gross capital formation, and 1% went directly to households.</w:t>
      </w:r>
    </w:p>
    <w:p>
      <w:pPr>
        <w:pStyle w:val="Compact"/>
        <w:numPr>
          <w:numId w:val="1006"/>
          <w:ilvl w:val="0"/>
        </w:numPr>
      </w:pPr>
      <w:r>
        <w:t xml:space="preserve">Oil refining represented about 47% of total physical use of natural resources in 2006, or 10 million metric tons, a jump from only about 8% the year before.</w:t>
      </w:r>
    </w:p>
    <w:p>
      <w:pPr>
        <w:pStyle w:val="Compact"/>
        <w:numPr>
          <w:numId w:val="1006"/>
          <w:ilvl w:val="0"/>
        </w:numPr>
      </w:pPr>
      <w:r>
        <w:t xml:space="preserve">Owing to subsoil resources, about GTQ 3,702.5 million moved through the economy annually between 2001 and 2006. This represented between 1.94% and 2.34% of GDP.</w:t>
      </w:r>
    </w:p>
    <w:p>
      <w:pPr>
        <w:pStyle w:val="Compact"/>
        <w:numPr>
          <w:numId w:val="1006"/>
          <w:ilvl w:val="0"/>
        </w:numPr>
      </w:pPr>
      <w:r>
        <w:t xml:space="preserve">Each job in the industries linked to subsoil resources generated about GTQ 55,702 as contribution to Guatemalan wealth.</w:t>
      </w:r>
    </w:p>
    <w:p>
      <w:pPr>
        <w:pStyle w:val="FirstParagraph"/>
      </w:pPr>
      <w:hyperlink r:id="rId55">
        <w:r>
          <w:rPr>
            <w:rStyle w:val="Hyperlink"/>
          </w:rPr>
          <w:t xml:space="preserve">Back to top</w:t>
        </w:r>
      </w:hyperlink>
    </w:p>
    <w:p>
      <w:pPr>
        <w:pStyle w:val="Heading2"/>
      </w:pPr>
      <w:bookmarkStart w:id="56" w:name="section-1"/>
      <w:bookmarkEnd w:id="56"/>
      <w:r>
        <w:t xml:space="preserve">* * *</w:t>
      </w:r>
    </w:p>
    <w:p>
      <w:pPr>
        <w:pStyle w:val="FirstParagraph"/>
      </w:pPr>
      <w:hyperlink r:id="rId55">
        <w:r>
          <w:rPr>
            <w:rStyle w:val="Hyperlink"/>
          </w:rPr>
          <w:t xml:space="preserve">Back to top</w:t>
        </w:r>
      </w:hyperlink>
    </w:p>
    <w:p>
      <w:r>
        <w:pict>
          <v:rect style="width:0;height:1.5pt" o:hralign="center" o:hrstd="t" o:hr="t"/>
        </w:pict>
      </w:r>
    </w:p>
    <w:p>
      <w:pPr>
        <w:pStyle w:val="FirstParagraph"/>
      </w:pPr>
      <w:hyperlink r:id="rId62">
        <w:r>
          <w:drawing>
            <wp:inline>
              <wp:extent cx="1117600" cy="393700"/>
              <wp:effectExtent b="0" l="0" r="0" t="0"/>
              <wp:docPr descr=""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1"/>
                      <a:stretch>
                        <a:fillRect/>
                      </a:stretch>
                    </pic:blipFill>
                    <pic:spPr bwMode="auto">
                      <a:xfrm>
                        <a:off x="0" y="0"/>
                        <a:ext cx="1117600" cy="393700"/>
                      </a:xfrm>
                      <a:prstGeom prst="rect">
                        <a:avLst/>
                      </a:prstGeom>
                      <a:noFill/>
                      <a:ln w="9525">
                        <a:noFill/>
                        <a:headEnd/>
                        <a:tailEnd/>
                      </a:ln>
                    </pic:spPr>
                  </pic:pic>
                </a:graphicData>
              </a:graphic>
            </wp:inline>
          </w:drawing>
        </w:r>
      </w:hyperlink>
      <w:r>
        <w:br w:type="textWrapping"/>
      </w:r>
      <w:r>
        <w:t xml:space="preserve">The System of Environmental And Economic Accounts of Guatemala</w:t>
      </w:r>
      <w:r>
        <w:t xml:space="preserve"> </w:t>
      </w:r>
      <w:r>
        <w:t xml:space="preserve">by</w:t>
      </w:r>
      <w:r>
        <w:t xml:space="preserve"> </w:t>
      </w:r>
      <w:hyperlink r:id="rId32">
        <w:r>
          <w:rPr>
            <w:rStyle w:val="Hyperlink"/>
          </w:rPr>
          <w:t xml:space="preserve">BANGUAT/IARNA-URL</w:t>
        </w:r>
      </w:hyperlink>
      <w:r>
        <w:br w:type="textWrapping"/>
      </w:r>
      <w:r>
        <w:t xml:space="preserve">is licensed under a</w:t>
      </w:r>
      <w:r>
        <w:t xml:space="preserve"> </w:t>
      </w:r>
      <w:hyperlink r:id="rId62">
        <w:r>
          <w:rPr>
            <w:rStyle w:val="Hyperlink"/>
          </w:rPr>
          <w:t xml:space="preserve">Creative Commons Attribution 4.0 International License</w:t>
        </w:r>
      </w:hyperlink>
      <w:r>
        <w:t xml:space="preserve">.</w:t>
      </w:r>
      <w:r>
        <w:br w:type="textWrapping"/>
      </w:r>
      <w:r>
        <w:t xml:space="preserve">Based on a work at</w:t>
      </w:r>
      <w:r>
        <w:t xml:space="preserve"> </w:t>
      </w:r>
      <w:hyperlink r:id="rId63">
        <w:r>
          <w:rPr>
            <w:rStyle w:val="Hyperlink"/>
          </w:rPr>
          <w:t xml:space="preserve">www.infoiarna.org.gt</w:t>
        </w:r>
      </w:hyperlink>
      <w:r>
        <w:t xml:space="preserve"> </w:t>
      </w:r>
      <w:r>
        <w:t xml:space="preserve">with support from WAVES at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108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9348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eca031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jpg" /><Relationship Type="http://schemas.openxmlformats.org/officeDocument/2006/relationships/image" Id="rId53" Target="media/rId53.jpg" /><Relationship Type="http://schemas.openxmlformats.org/officeDocument/2006/relationships/image" Id="rId45" Target="media/rId45.jpg" /><Relationship Type="http://schemas.openxmlformats.org/officeDocument/2006/relationships/image" Id="rId50" Target="media/rId50.jpg" /><Relationship Type="http://schemas.openxmlformats.org/officeDocument/2006/relationships/image" Id="rId51" Target="media/rId51.jpg" /><Relationship Type="http://schemas.openxmlformats.org/officeDocument/2006/relationships/image" Id="rId43" Target="media/rId43.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image" Id="rId35" Target="media/rId35.png" /><Relationship Type="http://schemas.openxmlformats.org/officeDocument/2006/relationships/image" Id="rId61" Target="media/rId61.png" /><Relationship Type="http://schemas.openxmlformats.org/officeDocument/2006/relationships/hyperlink" Id="rId62" Target="http://creativecommons.org/licenses/by/4.0/" TargetMode="External" /><Relationship Type="http://schemas.openxmlformats.org/officeDocument/2006/relationships/hyperlink" Id="rId21" Target="http://seeagt.github.io/" TargetMode="External" /><Relationship Type="http://schemas.openxmlformats.org/officeDocument/2006/relationships/hyperlink" Id="rId32" Target="http://seeagt.github.io/credits" TargetMode="External" /><Relationship Type="http://schemas.openxmlformats.org/officeDocument/2006/relationships/hyperlink" Id="rId37" Target="http://seeagt.github.io/doc/" TargetMode="External" /><Relationship Type="http://schemas.openxmlformats.org/officeDocument/2006/relationships/hyperlink" Id="rId24" Target="http://seeagt.github.io/report/aff" TargetMode="External" /><Relationship Type="http://schemas.openxmlformats.org/officeDocument/2006/relationships/hyperlink" Id="rId27" Target="http://seeagt.github.io/report/ecosystems" TargetMode="External" /><Relationship Type="http://schemas.openxmlformats.org/officeDocument/2006/relationships/hyperlink" Id="rId31" Target="http://seeagt.github.io/report/energy" TargetMode="External" /><Relationship Type="http://schemas.openxmlformats.org/officeDocument/2006/relationships/hyperlink" Id="rId30" Target="http://seeagt.github.io/report/fisheries" TargetMode="External" /><Relationship Type="http://schemas.openxmlformats.org/officeDocument/2006/relationships/hyperlink" Id="rId25" Target="http://seeagt.github.io/report/forests" TargetMode="External" /><Relationship Type="http://schemas.openxmlformats.org/officeDocument/2006/relationships/hyperlink" Id="rId29" Target="http://seeagt.github.io/report/subsoil" TargetMode="External" /><Relationship Type="http://schemas.openxmlformats.org/officeDocument/2006/relationships/hyperlink" Id="rId28" Target="http://seeagt.github.io/report/waste" TargetMode="External" /><Relationship Type="http://schemas.openxmlformats.org/officeDocument/2006/relationships/hyperlink" Id="rId26" Target="http://seeagt.github.io/report/water" TargetMode="External" /><Relationship Type="http://schemas.openxmlformats.org/officeDocument/2006/relationships/hyperlink" Id="rId63" Target="http://www.infoiarna.org.gt" TargetMode="External" /><Relationship Type="http://schemas.openxmlformats.org/officeDocument/2006/relationships/hyperlink" Id="rId23" Target="index.html" TargetMode="External" /><Relationship Type="http://schemas.openxmlformats.org/officeDocument/2006/relationships/hyperlink" Id="rId22" Target="index.html#" TargetMode="External" /><Relationship Type="http://schemas.openxmlformats.org/officeDocument/2006/relationships/hyperlink" Id="rId36" Target="index.html#startarticle" TargetMode="External" /><Relationship Type="http://schemas.openxmlformats.org/officeDocument/2006/relationships/hyperlink" Id="rId55" Target="index.html#top" TargetMode="External" /></Relationships>
</file>

<file path=word/_rels/footnotes.xml.rels><?xml version="1.0" encoding="UTF-8"?>
<Relationships xmlns="http://schemas.openxmlformats.org/package/2006/relationships"><Relationship Type="http://schemas.openxmlformats.org/officeDocument/2006/relationships/hyperlink" Id="rId62" Target="http://creativecommons.org/licenses/by/4.0/" TargetMode="External" /><Relationship Type="http://schemas.openxmlformats.org/officeDocument/2006/relationships/hyperlink" Id="rId21" Target="http://seeagt.github.io/" TargetMode="External" /><Relationship Type="http://schemas.openxmlformats.org/officeDocument/2006/relationships/hyperlink" Id="rId32" Target="http://seeagt.github.io/credits" TargetMode="External" /><Relationship Type="http://schemas.openxmlformats.org/officeDocument/2006/relationships/hyperlink" Id="rId37" Target="http://seeagt.github.io/doc/" TargetMode="External" /><Relationship Type="http://schemas.openxmlformats.org/officeDocument/2006/relationships/hyperlink" Id="rId24" Target="http://seeagt.github.io/report/aff" TargetMode="External" /><Relationship Type="http://schemas.openxmlformats.org/officeDocument/2006/relationships/hyperlink" Id="rId27" Target="http://seeagt.github.io/report/ecosystems" TargetMode="External" /><Relationship Type="http://schemas.openxmlformats.org/officeDocument/2006/relationships/hyperlink" Id="rId31" Target="http://seeagt.github.io/report/energy" TargetMode="External" /><Relationship Type="http://schemas.openxmlformats.org/officeDocument/2006/relationships/hyperlink" Id="rId30" Target="http://seeagt.github.io/report/fisheries" TargetMode="External" /><Relationship Type="http://schemas.openxmlformats.org/officeDocument/2006/relationships/hyperlink" Id="rId25" Target="http://seeagt.github.io/report/forests" TargetMode="External" /><Relationship Type="http://schemas.openxmlformats.org/officeDocument/2006/relationships/hyperlink" Id="rId29" Target="http://seeagt.github.io/report/subsoil" TargetMode="External" /><Relationship Type="http://schemas.openxmlformats.org/officeDocument/2006/relationships/hyperlink" Id="rId28" Target="http://seeagt.github.io/report/waste" TargetMode="External" /><Relationship Type="http://schemas.openxmlformats.org/officeDocument/2006/relationships/hyperlink" Id="rId26" Target="http://seeagt.github.io/report/water" TargetMode="External" /><Relationship Type="http://schemas.openxmlformats.org/officeDocument/2006/relationships/hyperlink" Id="rId63" Target="http://www.infoiarna.org.gt" TargetMode="External" /><Relationship Type="http://schemas.openxmlformats.org/officeDocument/2006/relationships/hyperlink" Id="rId23" Target="index.html" TargetMode="External" /><Relationship Type="http://schemas.openxmlformats.org/officeDocument/2006/relationships/hyperlink" Id="rId22" Target="index.html#" TargetMode="External" /><Relationship Type="http://schemas.openxmlformats.org/officeDocument/2006/relationships/hyperlink" Id="rId36" Target="index.html#startarticle" TargetMode="External" /><Relationship Type="http://schemas.openxmlformats.org/officeDocument/2006/relationships/hyperlink" Id="rId55" Target="index.html#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Subsoil: Valuing what lies beneath the surface</dc:title>
  <dc:creator>Renato Vargas</dc:creator>
</cp:coreProperties>
</file>