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top"/>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top"/>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p>
            <w:r>
              <w:rPr>
                <w:rFonts w:ascii="Arial" w:hAnsi="Arial"/>
                <w:b/>
                <w:color w:val="203966"/>
                <w:sz w:val="18"/>
              </w:rPr>
              <w:t>Proyecto: WellQ Medical Exams  |  Equipo: Vicente López, Sebastián González Garrido y Aron Germain Navarro  |  Corte del avance: 10/10/2026</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top"/>
            <w:shd w:fill="DEE6F4"/>
          </w:tcPr>
          <w:p w14:paraId="72F2ABB8" w14:textId="77777777" w:rsidR="0003309E" w:rsidRPr="00CA22A9" w:rsidRDefault="0003309E" w:rsidP="00585A13">
            <w:pPr>
              <w:rPr>
                <w:rFonts w:ascii="Calibri" w:hAnsi="Calibri"/>
                <w:color w:val="1F3864" w:themeColor="accent1" w:themeShade="80"/>
              </w:rPr>
            </w:pPr>
            <w:r>
              <w:rPr>
                <w:rFonts w:ascii="Arial" w:hAnsi="Arial"/>
                <w:b/>
                <w:color w:val="203966"/>
                <w:sz w:val="18"/>
              </w:rPr>
              <w:t>Resumen</w:t>
            </w:r>
            <w:r w:rsidRPr="006608A6">
              <w:rPr>
                <w:rFonts w:ascii="Arial" w:hAnsi="Arial"/>
                <w:b/>
                <w:color w:val="203966"/>
                <w:sz w:val="18"/>
              </w:rPr>
              <w:t xml:space="preserve"> de</w:t>
            </w:r>
            <w:r>
              <w:rPr>
                <w:rFonts w:ascii="Arial" w:hAnsi="Arial"/>
                <w:b/>
                <w:color w:val="203966"/>
                <w:sz w:val="18"/>
              </w:rPr>
              <w:t xml:space="preserve"> avance proyecto APT</w:t>
            </w:r>
          </w:p>
        </w:tc>
        <w:tc>
          <w:tcPr>
            <w:tcW w:w="7111" w:type="dxa"/>
            <w:vAlign w:val="top"/>
          </w:tcPr>
          <w:p w14:paraId="62B29CFD" w14:textId="12228CA9" w:rsidR="0003309E" w:rsidRDefault="0003309E" w:rsidP="00585A13">
            <w:pPr>
              <w:jc w:val="both"/>
              <w:rPr>
                <w:rFonts w:ascii="Calibri" w:hAnsi="Calibri" w:cs="Arial"/>
                <w:i/>
                <w:color w:val="548DD4"/>
                <w:sz w:val="20"/>
                <w:szCs w:val="20"/>
                <w:lang w:eastAsia="es-CL"/>
              </w:rPr>
            </w:pPr>
            <w:r/>
          </w:p>
          <w:p>
            <w:r>
              <w:rPr>
                <w:rFonts w:ascii="Arial" w:hAnsi="Arial"/>
                <w:b w:val="0"/>
                <w:color w:val="273246"/>
                <w:sz w:val="18"/>
              </w:rPr>
              <w:t>El proyecto WellQ Medical Exams busca desarrollar y validar un módulo de gestión de exámenes médicos alineado con el producto existente de Alloxentric. Durante el período se realizaron actividades de levantamiento de requerimientos, documentación de arquitectura, análisis del modelo de datos entregado por la contraparte y definición de reglas de seguridad, incluyendo aislamiento entre clientes, permisos, control de funcionalidades y auditoría.</w:t>
            </w:r>
          </w:p>
          <w:p>
            <w:r>
              <w:rPr>
                <w:rFonts w:ascii="Arial" w:hAnsi="Arial"/>
                <w:b w:val="0"/>
                <w:color w:val="273246"/>
                <w:sz w:val="18"/>
              </w:rPr>
              <w:t>En el ámbito técnico se desarrolló una base de reglas de dominio y posteriormente un prototipo de API con FastAPI y MongoDB en una rama de trabajo de Sebastián, con 37 pruebas automatizadas registradas para ese alcance. También se generaron diagramas del flujo original y se habilitó una demostración accesible mediante Vercel y MongoDB Atlas. A 9 de octubre, la bitácora indicaba que el código específico del despliegue más reciente aún debía publicarse para revisión en GitHub.</w:t>
            </w:r>
          </w:p>
          <w:p>
            <w:r>
              <w:rPr>
                <w:rFonts w:ascii="Arial" w:hAnsi="Arial"/>
                <w:b w:val="0"/>
                <w:color w:val="273246"/>
                <w:sz w:val="18"/>
              </w:rPr>
              <w:t>El desarrollo está en revisión de alcance: se propuso pasar de un ejemplo con marcadores sintéticos a un flujo de carga de exámenes PDF, lectura estructurada local y validación por el profesional asociado. Esta nueva orientación debe ratificarse con el equipo y la contraparte. No se declara implementado un diagnóstico automático por IA, ni se presume terminada la documentación o la batería de pruebas exigida para el producto final.</w:t>
            </w:r>
          </w:p>
        </w:tc>
      </w:tr>
      <w:tr w:rsidR="0003309E" w14:paraId="054DAFFB" w14:textId="77777777" w:rsidTr="000A1331">
        <w:trPr>
          <w:trHeight w:val="1247"/>
        </w:trPr>
        <w:tc>
          <w:tcPr>
            <w:tcW w:w="2528" w:type="dxa"/>
            <w:vAlign w:val="top"/>
            <w:shd w:fill="DEE6F4"/>
          </w:tcPr>
          <w:p w14:paraId="7942AC12" w14:textId="77777777" w:rsidR="0003309E" w:rsidRPr="00CA22A9" w:rsidRDefault="0003309E" w:rsidP="00585A13">
            <w:pPr>
              <w:rPr>
                <w:rFonts w:ascii="Calibri" w:hAnsi="Calibri"/>
                <w:color w:val="1F3864" w:themeColor="accent1" w:themeShade="80"/>
              </w:rPr>
            </w:pPr>
            <w:r>
              <w:rPr>
                <w:rFonts w:ascii="Arial" w:hAnsi="Arial"/>
                <w:b/>
                <w:color w:val="203966"/>
                <w:sz w:val="18"/>
              </w:rPr>
              <w:t>Objetivos</w:t>
            </w:r>
          </w:p>
        </w:tc>
        <w:tc>
          <w:tcPr>
            <w:tcW w:w="7111" w:type="dxa"/>
            <w:vAlign w:val="top"/>
          </w:tcPr>
          <w:p w14:paraId="0DD025FA" w14:textId="77777777" w:rsidR="0003309E" w:rsidRPr="00A370C8" w:rsidRDefault="0003309E" w:rsidP="00585A13">
            <w:pPr>
              <w:jc w:val="both"/>
              <w:rPr>
                <w:rFonts w:ascii="Calibri" w:hAnsi="Calibri" w:cs="Arial"/>
                <w:b/>
                <w:i/>
                <w:color w:val="548DD4"/>
                <w:sz w:val="20"/>
                <w:szCs w:val="20"/>
                <w:lang w:eastAsia="es-CL"/>
              </w:rPr>
            </w:pPr>
            <w:r/>
          </w:p>
          <w:p>
            <w:r>
              <w:rPr>
                <w:rFonts w:ascii="Arial" w:hAnsi="Arial"/>
                <w:b w:val="0"/>
                <w:color w:val="273246"/>
                <w:sz w:val="18"/>
              </w:rPr>
              <w:t>Se mantiene el objetivo central de desarrollar un módulo verificable, seguro y documentado de gestión de exámenes médicos integrado al ecosistema WellQ. Se propone precisar el objetivo operativo de esta etapa como: “habilitar el ingreso de exámenes en PDF, su lectura estructurada en un entorno de demostración, la vinculación con el profesional correspondiente y un proceso de revisión/validación trazable”.</w:t>
            </w:r>
          </w:p>
          <w:p>
            <w:r>
              <w:rPr>
                <w:rFonts w:ascii="Arial" w:hAnsi="Arial"/>
                <w:b w:val="0"/>
                <w:color w:val="273246"/>
                <w:sz w:val="18"/>
              </w:rPr>
              <w:t>Este ajuste es una propuesta técnica de alcance, pendiente de acuerdo grupal y validación del cliente/docente. La eventual IA clínica queda fuera del prototipo evaluado hasta definir su finalidad, autorización y requisitos de seguridad.</w:t>
            </w:r>
          </w:p>
        </w:tc>
      </w:tr>
      <w:tr w:rsidR="0003309E" w14:paraId="2FEF1C0D" w14:textId="77777777" w:rsidTr="000A1331">
        <w:trPr>
          <w:trHeight w:val="939"/>
        </w:trPr>
        <w:tc>
          <w:tcPr>
            <w:tcW w:w="2528" w:type="dxa"/>
            <w:vAlign w:val="top"/>
            <w:shd w:fill="DEE6F4"/>
          </w:tcPr>
          <w:p w14:paraId="1064E097" w14:textId="77777777" w:rsidR="0003309E" w:rsidRPr="00CA22A9" w:rsidRDefault="0003309E" w:rsidP="00585A13">
            <w:pPr>
              <w:rPr>
                <w:rFonts w:ascii="Calibri" w:hAnsi="Calibri"/>
                <w:color w:val="1F3864" w:themeColor="accent1" w:themeShade="80"/>
              </w:rPr>
            </w:pPr>
            <w:r>
              <w:rPr>
                <w:rFonts w:ascii="Arial" w:hAnsi="Arial"/>
                <w:b/>
                <w:color w:val="203966"/>
                <w:sz w:val="18"/>
              </w:rPr>
              <w:t>Metodología</w:t>
            </w:r>
          </w:p>
        </w:tc>
        <w:tc>
          <w:tcPr>
            <w:tcW w:w="7111" w:type="dxa"/>
            <w:vAlign w:val="top"/>
          </w:tcPr>
          <w:p w14:paraId="0908C15F" w14:textId="77777777" w:rsidR="0003309E" w:rsidRPr="00711C16" w:rsidRDefault="0003309E" w:rsidP="00585A13">
            <w:pPr>
              <w:jc w:val="both"/>
              <w:rPr>
                <w:rFonts w:ascii="Calibri" w:hAnsi="Calibri" w:cs="Arial"/>
                <w:i/>
                <w:color w:val="548DD4"/>
                <w:sz w:val="20"/>
                <w:szCs w:val="20"/>
                <w:lang w:eastAsia="es-CL"/>
              </w:rPr>
            </w:pPr>
            <w:r/>
          </w:p>
          <w:p>
            <w:r>
              <w:rPr>
                <w:rFonts w:ascii="Arial" w:hAnsi="Arial"/>
                <w:b w:val="0"/>
                <w:color w:val="273246"/>
                <w:sz w:val="18"/>
              </w:rPr>
              <w:t>Se continúa con un desarrollo iterativo e incremental, combinando análisis, documentación, prototipos, pruebas automatizadas y revisión por hitos. Se utiliza GitHub para registrar documentación y cambios de código en ramas; los cambios deben someterse a revisión antes de integrarse. Se actualizará la planificación para priorizar el cronograma académico de Duoc UC, manteniendo demostraciones continuas para retroalimentación de Alloxentric.</w:t>
            </w:r>
          </w:p>
          <w:p>
            <w:r>
              <w:rPr>
                <w:rFonts w:ascii="Arial" w:hAnsi="Arial"/>
                <w:b w:val="0"/>
                <w:color w:val="273246"/>
                <w:sz w:val="18"/>
              </w:rPr>
              <w:t>No se afirma que exista una implementación completa de Scrum ni ceremonias específicas que no estén documentadas. Los responsables y duraciones definitivas deberán contrastarse con la carta Gantt oficial vigente.</w:t>
            </w:r>
          </w:p>
        </w:tc>
      </w:tr>
      <w:tr w:rsidR="0003309E" w14:paraId="74E704B1" w14:textId="77777777" w:rsidTr="000A1331">
        <w:trPr>
          <w:trHeight w:val="2377"/>
        </w:trPr>
        <w:tc>
          <w:tcPr>
            <w:tcW w:w="2528" w:type="dxa"/>
            <w:vAlign w:val="top"/>
            <w:shd w:fill="DEE6F4"/>
          </w:tcPr>
          <w:p w14:paraId="0313DD97" w14:textId="77777777" w:rsidR="0003309E" w:rsidRPr="00CA22A9" w:rsidRDefault="0003309E" w:rsidP="00585A13">
            <w:pPr>
              <w:rPr>
                <w:rFonts w:ascii="Calibri" w:hAnsi="Calibri"/>
                <w:color w:val="1F3864" w:themeColor="accent1" w:themeShade="80"/>
              </w:rPr>
            </w:pPr>
            <w:r>
              <w:rPr>
                <w:rFonts w:ascii="Arial" w:hAnsi="Arial"/>
                <w:b/>
                <w:color w:val="203966"/>
                <w:sz w:val="18"/>
              </w:rPr>
              <w:t>Evidencias de avance</w:t>
            </w:r>
          </w:p>
        </w:tc>
        <w:tc>
          <w:tcPr>
            <w:tcW w:w="7111" w:type="dxa"/>
            <w:vAlign w:val="top"/>
          </w:tcPr>
          <w:p w14:paraId="2C28AC8B" w14:textId="7676AFBF" w:rsidR="0003309E" w:rsidRDefault="0003309E" w:rsidP="00585A13">
            <w:pPr>
              <w:jc w:val="both"/>
              <w:rPr>
                <w:rFonts w:ascii="Calibri" w:hAnsi="Calibri" w:cs="Arial"/>
                <w:i/>
                <w:color w:val="548DD4"/>
                <w:sz w:val="20"/>
                <w:szCs w:val="20"/>
                <w:lang w:eastAsia="es-CL"/>
              </w:rPr>
            </w:pPr>
            <w:r/>
          </w:p>
          <w:p>
            <w:r>
              <w:rPr>
                <w:rFonts w:ascii="Arial" w:hAnsi="Arial"/>
                <w:b w:val="0"/>
                <w:color w:val="273246"/>
                <w:sz w:val="18"/>
              </w:rPr>
              <w:t>Evidencias verificables: (1) bitácoras de progreso, arquitectura y stakeholders; (2) comparación de arquitecturas, banco de preguntas y especificaciones de API; (3) ramas técnicas con reglas de dominio, backend FastAPI/MongoDB y pruebas automatizadas; (4) diagramas de casos de uso, actividad y estados de la Fase 2; y (5) demostración del prototipo publicada en Vercel.</w:t>
            </w:r>
          </w:p>
          <w:p>
            <w:r>
              <w:rPr>
                <w:rFonts w:ascii="Arial" w:hAnsi="Arial"/>
                <w:b w:val="0"/>
                <w:color w:val="273246"/>
                <w:sz w:val="18"/>
              </w:rPr>
              <w:t>Estas evidencias muestran tanto el avance documental como la existencia de componentes ejecutables. La calidad se ha resguardado mediante pruebas de aislamiento entre clientes, autenticación/autorización, revisión de código y utilización de datos sintéticos. Limitaciones: el nuevo flujo PDF no reemplaza automáticamente la evidencia del prototipo anterior; faltan su aprobación formal, la publicación para revisión del código exacto desplegado, el plan/casos/resultados de pruebas del flujo definitivo y la actualización integral de los diagramas.</w:t>
            </w:r>
          </w:p>
          <w:p>
            <w:r>
              <w:rPr>
                <w:rFonts w:ascii="Arial" w:hAnsi="Arial"/>
                <w:b w:val="0"/>
                <w:color w:val="273246"/>
                <w:sz w:val="18"/>
              </w:rPr>
              <w:t>Repositorio: https://github.com/seebago/capstone</w:t>
              <w:br/>
              <w:t>Demostración: https://wellq-mvp.vercel.app</w:t>
              <w:br/>
              <w:t>Se recomienda adjuntar o enlazar, en la entrega AVA, los archivos finales específicos seleccionados y la versión revisada de sus pruebas; estos enlaces no sustituyen por sí solos la adjunción exigida por la guía.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top"/>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top"/>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type="auto" w:w="0"/>
        <w:jc w:val="center"/>
        <w:tblLayout w:type="fixed"/>
        <w:tblLook w:firstColumn="1" w:firstRow="1" w:lastColumn="0" w:lastRow="0" w:noHBand="0" w:noVBand="1" w:val="04A0"/>
      </w:tblPr>
      <w:tblGrid>
        <w:gridCol w:w="3402"/>
        <w:gridCol w:w="5726"/>
      </w:tblGrid>
      <w:tr>
        <w:trPr>
          <w:tblHeader w:val="true"/>
        </w:trPr>
        <w:tc>
          <w:tcPr>
            <w:tcW w:type="dxa" w:w="4252"/>
            <w:vAlign w:val="top"/>
            <w:shd w:fill="DCE5F4"/>
          </w:tcPr>
          <w:p>
            <w:r>
              <w:rPr>
                <w:rFonts w:ascii="Arial" w:hAnsi="Arial"/>
                <w:b/>
                <w:color w:val="203966"/>
                <w:sz w:val="18"/>
              </w:rPr>
              <w:t>COMPETENCIA / ACTIVIDAD / RESPONSABLE</w:t>
            </w:r>
          </w:p>
        </w:tc>
        <w:tc>
          <w:tcPr>
            <w:tcW w:type="dxa" w:w="4252"/>
            <w:vAlign w:val="top"/>
            <w:shd w:fill="DCE5F4"/>
          </w:tcPr>
          <w:p>
            <w:r>
              <w:rPr>
                <w:rFonts w:ascii="Arial" w:hAnsi="Arial"/>
                <w:b/>
                <w:color w:val="203966"/>
                <w:sz w:val="18"/>
              </w:rPr>
              <w:t>RECURSOS / DURACIÓN / OBSERVACIONES / ESTADO / AJUSTES</w:t>
            </w:r>
          </w:p>
        </w:tc>
      </w:tr>
      <w:tr>
        <w:tc>
          <w:tcPr>
            <w:tcW w:type="dxa" w:w="3402"/>
            <w:vAlign w:val="top"/>
          </w:tcPr>
          <w:p>
            <w:r>
              <w:rPr>
                <w:rFonts w:ascii="Arial" w:hAnsi="Arial"/>
                <w:b/>
                <w:color w:val="203966"/>
                <w:sz w:val="17"/>
              </w:rPr>
              <w:t>Análisis de requerimientos y gestión de proyectos</w:t>
            </w:r>
          </w:p>
          <w:p>
            <w:r>
              <w:rPr>
                <w:rFonts w:ascii="Arial" w:hAnsi="Arial"/>
                <w:b w:val="0"/>
                <w:color w:val="273246"/>
                <w:sz w:val="17"/>
              </w:rPr>
              <w:t>Levantamiento y definición de alcance</w:t>
            </w:r>
          </w:p>
          <w:p>
            <w:r>
              <w:rPr>
                <w:rFonts w:ascii="Arial" w:hAnsi="Arial"/>
                <w:b w:val="0"/>
                <w:color w:val="273246"/>
                <w:sz w:val="17"/>
              </w:rPr>
              <w:t>Responsable: Vicente López (coordinación); equipo (aportes)</w:t>
            </w:r>
          </w:p>
        </w:tc>
        <w:tc>
          <w:tcPr>
            <w:tcW w:type="dxa" w:w="5726"/>
            <w:vAlign w:val="top"/>
          </w:tcPr>
          <w:p>
            <w:r>
              <w:rPr>
                <w:rFonts w:ascii="Arial" w:hAnsi="Arial"/>
                <w:b/>
                <w:color w:val="203966"/>
                <w:sz w:val="16"/>
              </w:rPr>
              <w:t>Recursos: reuniones, modelo de datos de Alloxentric, bitácora de stakeholders y banco de preguntas.</w:t>
            </w:r>
          </w:p>
          <w:p>
            <w:r>
              <w:rPr>
                <w:rFonts w:ascii="Arial" w:hAnsi="Arial"/>
                <w:b w:val="0"/>
                <w:color w:val="273246"/>
                <w:sz w:val="16"/>
              </w:rPr>
              <w:t>Duración: septiembre-octubre de 2026 (periodo documentado; contrastar con Gantt).</w:t>
            </w:r>
          </w:p>
          <w:p>
            <w:r>
              <w:rPr>
                <w:rFonts w:ascii="Arial" w:hAnsi="Arial"/>
                <w:b w:val="0"/>
                <w:color w:val="273246"/>
                <w:sz w:val="16"/>
              </w:rPr>
              <w:t>Observaciones: los requerimientos y el alcance de IA han evolucionado; algunas aprobaciones siguen abiertas.</w:t>
            </w:r>
          </w:p>
          <w:p>
            <w:r>
              <w:rPr>
                <w:rFonts w:ascii="Arial" w:hAnsi="Arial"/>
                <w:b w:val="0"/>
                <w:color w:val="273246"/>
                <w:sz w:val="16"/>
              </w:rPr>
              <w:t>Estado: En curso.</w:t>
            </w:r>
          </w:p>
          <w:p>
            <w:r>
              <w:rPr>
                <w:rFonts w:ascii="Arial" w:hAnsi="Arial"/>
                <w:b w:val="0"/>
                <w:color w:val="273246"/>
                <w:sz w:val="16"/>
              </w:rPr>
              <w:t>Ajustes: documentar formalmente el posible flujo PDF y su aprobación antes de cerrar requerimientos.</w:t>
            </w:r>
          </w:p>
        </w:tc>
      </w:tr>
      <w:tr>
        <w:tc>
          <w:tcPr>
            <w:tcW w:type="dxa" w:w="3402"/>
            <w:vAlign w:val="top"/>
            <w:shd w:fill="F4F6FA"/>
          </w:tcPr>
          <w:p>
            <w:r>
              <w:rPr>
                <w:rFonts w:ascii="Arial" w:hAnsi="Arial"/>
                <w:b/>
                <w:color w:val="203966"/>
                <w:sz w:val="17"/>
              </w:rPr>
              <w:t>Arquitectura y seguridad</w:t>
            </w:r>
          </w:p>
          <w:p>
            <w:r>
              <w:rPr>
                <w:rFonts w:ascii="Arial" w:hAnsi="Arial"/>
                <w:b w:val="0"/>
                <w:color w:val="273246"/>
                <w:sz w:val="17"/>
              </w:rPr>
              <w:t>Análisis de alternativas técnicas y reglas de aislamiento</w:t>
            </w:r>
          </w:p>
          <w:p>
            <w:r>
              <w:rPr>
                <w:rFonts w:ascii="Arial" w:hAnsi="Arial"/>
                <w:b w:val="0"/>
                <w:color w:val="273246"/>
                <w:sz w:val="17"/>
              </w:rPr>
              <w:t>Responsables: Sebastián González y Vicente López</w:t>
            </w:r>
          </w:p>
        </w:tc>
        <w:tc>
          <w:tcPr>
            <w:tcW w:type="dxa" w:w="5726"/>
            <w:vAlign w:val="top"/>
            <w:shd w:fill="F4F6FA"/>
          </w:tcPr>
          <w:p>
            <w:r>
              <w:rPr>
                <w:rFonts w:ascii="Arial" w:hAnsi="Arial"/>
                <w:b/>
                <w:color w:val="203966"/>
                <w:sz w:val="16"/>
              </w:rPr>
              <w:t>Recursos: especificaciones, comparación arquitectónica, bitácora y modelo de datos recibido.</w:t>
            </w:r>
          </w:p>
          <w:p>
            <w:r>
              <w:rPr>
                <w:rFonts w:ascii="Arial" w:hAnsi="Arial"/>
                <w:b w:val="0"/>
                <w:color w:val="273246"/>
                <w:sz w:val="16"/>
              </w:rPr>
              <w:t>Duración: septiembre-octubre de 2026 (periodo documentado).</w:t>
            </w:r>
          </w:p>
          <w:p>
            <w:r>
              <w:rPr>
                <w:rFonts w:ascii="Arial" w:hAnsi="Arial"/>
                <w:b w:val="0"/>
                <w:color w:val="273246"/>
                <w:sz w:val="16"/>
              </w:rPr>
              <w:t>Observaciones: las alternativas PostgreSQL y MongoDB tuvieron discrepancias de diseño.</w:t>
            </w:r>
          </w:p>
          <w:p>
            <w:r>
              <w:rPr>
                <w:rFonts w:ascii="Arial" w:hAnsi="Arial"/>
                <w:b w:val="0"/>
                <w:color w:val="273246"/>
                <w:sz w:val="16"/>
              </w:rPr>
              <w:t>Estado: En curso.</w:t>
            </w:r>
          </w:p>
          <w:p>
            <w:r>
              <w:rPr>
                <w:rFonts w:ascii="Arial" w:hAnsi="Arial"/>
                <w:b w:val="0"/>
                <w:color w:val="273246"/>
                <w:sz w:val="16"/>
              </w:rPr>
              <w:t>Ajustes: trabajar el prototipo sobre FastAPI/MongoDB, sin declarar ratificadas las decisiones arquitectónicas pendientes.</w:t>
            </w:r>
          </w:p>
        </w:tc>
      </w:tr>
      <w:tr>
        <w:tc>
          <w:tcPr>
            <w:tcW w:type="dxa" w:w="3402"/>
            <w:vAlign w:val="top"/>
          </w:tcPr>
          <w:p>
            <w:r>
              <w:rPr>
                <w:rFonts w:ascii="Arial" w:hAnsi="Arial"/>
                <w:b/>
                <w:color w:val="203966"/>
                <w:sz w:val="17"/>
              </w:rPr>
              <w:t>Programación y pruebas de dominio</w:t>
            </w:r>
          </w:p>
          <w:p>
            <w:r>
              <w:rPr>
                <w:rFonts w:ascii="Arial" w:hAnsi="Arial"/>
                <w:b w:val="0"/>
                <w:color w:val="273246"/>
                <w:sz w:val="17"/>
              </w:rPr>
              <w:t>Reglas D/E: confirmación, permisos y elegibilidad</w:t>
            </w:r>
          </w:p>
          <w:p>
            <w:r>
              <w:rPr>
                <w:rFonts w:ascii="Arial" w:hAnsi="Arial"/>
                <w:b w:val="0"/>
                <w:color w:val="273246"/>
                <w:sz w:val="17"/>
              </w:rPr>
              <w:t>Responsable: Sebastián González</w:t>
            </w:r>
          </w:p>
        </w:tc>
        <w:tc>
          <w:tcPr>
            <w:tcW w:type="dxa" w:w="5726"/>
            <w:vAlign w:val="top"/>
          </w:tcPr>
          <w:p>
            <w:r>
              <w:rPr>
                <w:rFonts w:ascii="Arial" w:hAnsi="Arial"/>
                <w:b/>
                <w:color w:val="203966"/>
                <w:sz w:val="16"/>
              </w:rPr>
              <w:t>Recursos: Python, documentación funcional y pruebas unitarias.</w:t>
            </w:r>
          </w:p>
          <w:p>
            <w:r>
              <w:rPr>
                <w:rFonts w:ascii="Arial" w:hAnsi="Arial"/>
                <w:b w:val="0"/>
                <w:color w:val="273246"/>
                <w:sz w:val="16"/>
              </w:rPr>
              <w:t>Duración: 29-30 de septiembre de 2026 (hito documentado).</w:t>
            </w:r>
          </w:p>
          <w:p>
            <w:r>
              <w:rPr>
                <w:rFonts w:ascii="Arial" w:hAnsi="Arial"/>
                <w:b w:val="0"/>
                <w:color w:val="273246"/>
                <w:sz w:val="16"/>
              </w:rPr>
              <w:t>Observaciones: se verificaron 22 pruebas automáticas para el dominio, sin API o DB en esa versión.</w:t>
            </w:r>
          </w:p>
          <w:p>
            <w:r>
              <w:rPr>
                <w:rFonts w:ascii="Arial" w:hAnsi="Arial"/>
                <w:b w:val="0"/>
                <w:color w:val="273246"/>
                <w:sz w:val="16"/>
              </w:rPr>
              <w:t>Estado: Completado (prototipo de dominio).</w:t>
            </w:r>
          </w:p>
          <w:p>
            <w:r>
              <w:rPr>
                <w:rFonts w:ascii="Arial" w:hAnsi="Arial"/>
                <w:b w:val="0"/>
                <w:color w:val="273246"/>
                <w:sz w:val="16"/>
              </w:rPr>
              <w:t>Ajustes: mantenerlo separado de un supuesto motor clínico definitivo.</w:t>
            </w:r>
          </w:p>
        </w:tc>
      </w:tr>
      <w:tr>
        <w:tc>
          <w:tcPr>
            <w:tcW w:type="dxa" w:w="3402"/>
            <w:vAlign w:val="top"/>
            <w:shd w:fill="F4F6FA"/>
          </w:tcPr>
          <w:p>
            <w:r>
              <w:rPr>
                <w:rFonts w:ascii="Arial" w:hAnsi="Arial"/>
                <w:b/>
                <w:color w:val="203966"/>
                <w:sz w:val="17"/>
              </w:rPr>
              <w:t>Backend y datos</w:t>
            </w:r>
          </w:p>
          <w:p>
            <w:r>
              <w:rPr>
                <w:rFonts w:ascii="Arial" w:hAnsi="Arial"/>
                <w:b w:val="0"/>
                <w:color w:val="273246"/>
                <w:sz w:val="17"/>
              </w:rPr>
              <w:t>MVP FastAPI + MongoDB y autenticación</w:t>
            </w:r>
          </w:p>
          <w:p>
            <w:r>
              <w:rPr>
                <w:rFonts w:ascii="Arial" w:hAnsi="Arial"/>
                <w:b w:val="0"/>
                <w:color w:val="273246"/>
                <w:sz w:val="17"/>
              </w:rPr>
              <w:t>Responsable: Sebastián González</w:t>
            </w:r>
          </w:p>
        </w:tc>
        <w:tc>
          <w:tcPr>
            <w:tcW w:type="dxa" w:w="5726"/>
            <w:vAlign w:val="top"/>
            <w:shd w:fill="F4F6FA"/>
          </w:tcPr>
          <w:p>
            <w:r>
              <w:rPr>
                <w:rFonts w:ascii="Arial" w:hAnsi="Arial"/>
                <w:b/>
                <w:color w:val="203966"/>
                <w:sz w:val="16"/>
              </w:rPr>
              <w:t>Recursos: Python, FastAPI, MongoDB, JWT, GitHub Actions.</w:t>
            </w:r>
          </w:p>
          <w:p>
            <w:r>
              <w:rPr>
                <w:rFonts w:ascii="Arial" w:hAnsi="Arial"/>
                <w:b w:val="0"/>
                <w:color w:val="273246"/>
                <w:sz w:val="16"/>
              </w:rPr>
              <w:t>Duración: 1-3 de octubre de 2026 (hito documentado).</w:t>
            </w:r>
          </w:p>
          <w:p>
            <w:r>
              <w:rPr>
                <w:rFonts w:ascii="Arial" w:hAnsi="Arial"/>
                <w:b w:val="0"/>
                <w:color w:val="273246"/>
                <w:sz w:val="16"/>
              </w:rPr>
              <w:t>Observaciones: 37 pruebas automatizadas asociadas al MVP original; rama técnica aún sujeta a integración/revisión.</w:t>
            </w:r>
          </w:p>
          <w:p>
            <w:r>
              <w:rPr>
                <w:rFonts w:ascii="Arial" w:hAnsi="Arial"/>
                <w:b w:val="0"/>
                <w:color w:val="273246"/>
                <w:sz w:val="16"/>
              </w:rPr>
              <w:t>Estado: Completado como prototipo; integración al repositorio principal pendiente.</w:t>
            </w:r>
          </w:p>
          <w:p>
            <w:r>
              <w:rPr>
                <w:rFonts w:ascii="Arial" w:hAnsi="Arial"/>
                <w:b w:val="0"/>
                <w:color w:val="273246"/>
                <w:sz w:val="16"/>
              </w:rPr>
              <w:t>Ajustes: actualizar contratos y pruebas si se adopta el nuevo flujo PDF.</w:t>
            </w:r>
          </w:p>
        </w:tc>
      </w:tr>
      <w:tr>
        <w:tc>
          <w:tcPr>
            <w:tcW w:type="dxa" w:w="3402"/>
            <w:vAlign w:val="top"/>
          </w:tcPr>
          <w:p>
            <w:r>
              <w:rPr>
                <w:rFonts w:ascii="Arial" w:hAnsi="Arial"/>
                <w:b/>
                <w:color w:val="203966"/>
                <w:sz w:val="17"/>
              </w:rPr>
              <w:t>Despliegue y pruebas de demostración</w:t>
            </w:r>
          </w:p>
          <w:p>
            <w:r>
              <w:rPr>
                <w:rFonts w:ascii="Arial" w:hAnsi="Arial"/>
                <w:b w:val="0"/>
                <w:color w:val="273246"/>
                <w:sz w:val="17"/>
              </w:rPr>
              <w:t>Entorno Vercel + MongoDB Atlas</w:t>
            </w:r>
          </w:p>
          <w:p>
            <w:r>
              <w:rPr>
                <w:rFonts w:ascii="Arial" w:hAnsi="Arial"/>
                <w:b w:val="0"/>
                <w:color w:val="273246"/>
                <w:sz w:val="17"/>
              </w:rPr>
              <w:t>Responsable: Sebastián González</w:t>
            </w:r>
          </w:p>
        </w:tc>
        <w:tc>
          <w:tcPr>
            <w:tcW w:type="dxa" w:w="5726"/>
            <w:vAlign w:val="top"/>
          </w:tcPr>
          <w:p>
            <w:r>
              <w:rPr>
                <w:rFonts w:ascii="Arial" w:hAnsi="Arial"/>
                <w:b/>
                <w:color w:val="203966"/>
                <w:sz w:val="16"/>
              </w:rPr>
              <w:t>Recursos: Vercel, MongoDB Atlas, navegador y datos sintéticos.</w:t>
            </w:r>
          </w:p>
          <w:p>
            <w:r>
              <w:rPr>
                <w:rFonts w:ascii="Arial" w:hAnsi="Arial"/>
                <w:b w:val="0"/>
                <w:color w:val="273246"/>
                <w:sz w:val="16"/>
              </w:rPr>
              <w:t>Duración: 9 de octubre de 2026 (publicación verificada en bitácora).</w:t>
            </w:r>
          </w:p>
          <w:p>
            <w:r>
              <w:rPr>
                <w:rFonts w:ascii="Arial" w:hAnsi="Arial"/>
                <w:b w:val="0"/>
                <w:color w:val="273246"/>
                <w:sz w:val="16"/>
              </w:rPr>
              <w:t>Observaciones: demo accesible; el código exacto del despliegue no constaba aún publicado en GitHub.</w:t>
            </w:r>
          </w:p>
          <w:p>
            <w:r>
              <w:rPr>
                <w:rFonts w:ascii="Arial" w:hAnsi="Arial"/>
                <w:b w:val="0"/>
                <w:color w:val="273246"/>
                <w:sz w:val="16"/>
              </w:rPr>
              <w:t>Estado: En curso (despliegue operativo; trazabilidad pendiente).</w:t>
            </w:r>
          </w:p>
          <w:p>
            <w:r>
              <w:rPr>
                <w:rFonts w:ascii="Arial" w:hAnsi="Arial"/>
                <w:b w:val="0"/>
                <w:color w:val="273246"/>
                <w:sz w:val="16"/>
              </w:rPr>
              <w:t>Ajustes: subir rama correspondiente, abrir PR y revisar seguridad/configuración antes de utilizar cualquier dato real.</w:t>
            </w:r>
          </w:p>
        </w:tc>
      </w:tr>
      <w:tr>
        <w:tc>
          <w:tcPr>
            <w:tcW w:type="dxa" w:w="3402"/>
            <w:vAlign w:val="top"/>
            <w:shd w:fill="F4F6FA"/>
          </w:tcPr>
          <w:p>
            <w:r>
              <w:rPr>
                <w:rFonts w:ascii="Arial" w:hAnsi="Arial"/>
                <w:b/>
                <w:color w:val="203966"/>
                <w:sz w:val="17"/>
              </w:rPr>
              <w:t>Diseño de software</w:t>
            </w:r>
          </w:p>
          <w:p>
            <w:r>
              <w:rPr>
                <w:rFonts w:ascii="Arial" w:hAnsi="Arial"/>
                <w:b w:val="0"/>
                <w:color w:val="273246"/>
                <w:sz w:val="17"/>
              </w:rPr>
              <w:t>Diagramas, flujos y mockups de Fase 2</w:t>
            </w:r>
          </w:p>
          <w:p>
            <w:r>
              <w:rPr>
                <w:rFonts w:ascii="Arial" w:hAnsi="Arial"/>
                <w:b w:val="0"/>
                <w:color w:val="273246"/>
                <w:sz w:val="17"/>
              </w:rPr>
              <w:t>Responsables: Vicente López (diagramas documentados); equipo (revisión)</w:t>
            </w:r>
          </w:p>
        </w:tc>
        <w:tc>
          <w:tcPr>
            <w:tcW w:type="dxa" w:w="5726"/>
            <w:vAlign w:val="top"/>
            <w:shd w:fill="F4F6FA"/>
          </w:tcPr>
          <w:p>
            <w:r>
              <w:rPr>
                <w:rFonts w:ascii="Arial" w:hAnsi="Arial"/>
                <w:b/>
                <w:color w:val="203966"/>
                <w:sz w:val="16"/>
              </w:rPr>
              <w:t>Recursos: diagramas de casos de uso, actividad, estados, requisitos, repositorio.</w:t>
            </w:r>
          </w:p>
          <w:p>
            <w:r>
              <w:rPr>
                <w:rFonts w:ascii="Arial" w:hAnsi="Arial"/>
                <w:b w:val="0"/>
                <w:color w:val="273246"/>
                <w:sz w:val="16"/>
              </w:rPr>
              <w:t>Duración: 6-9 de octubre de 2026 (periodo documentado).</w:t>
            </w:r>
          </w:p>
          <w:p>
            <w:r>
              <w:rPr>
                <w:rFonts w:ascii="Arial" w:hAnsi="Arial"/>
                <w:b w:val="0"/>
                <w:color w:val="273246"/>
                <w:sz w:val="16"/>
              </w:rPr>
              <w:t>Observaciones: los diagramas disponibles representan el flujo anterior.</w:t>
            </w:r>
          </w:p>
          <w:p>
            <w:r>
              <w:rPr>
                <w:rFonts w:ascii="Arial" w:hAnsi="Arial"/>
                <w:b w:val="0"/>
                <w:color w:val="273246"/>
                <w:sz w:val="16"/>
              </w:rPr>
              <w:t>Estado: Ajustada / En curso.</w:t>
            </w:r>
          </w:p>
          <w:p>
            <w:r>
              <w:rPr>
                <w:rFonts w:ascii="Arial" w:hAnsi="Arial"/>
                <w:b w:val="0"/>
                <w:color w:val="273246"/>
                <w:sz w:val="16"/>
              </w:rPr>
              <w:t>Ajustes: revisar casos de uso, clases, actividades y prototipos visuales contra el alcance finalmente aprobado.</w:t>
            </w:r>
          </w:p>
        </w:tc>
      </w:tr>
      <w:tr>
        <w:tc>
          <w:tcPr>
            <w:tcW w:type="dxa" w:w="3402"/>
            <w:vAlign w:val="top"/>
          </w:tcPr>
          <w:p>
            <w:r>
              <w:rPr>
                <w:rFonts w:ascii="Arial" w:hAnsi="Arial"/>
                <w:b/>
                <w:color w:val="203966"/>
                <w:sz w:val="17"/>
              </w:rPr>
              <w:t>Diseño y desarrollo de interfaz</w:t>
            </w:r>
          </w:p>
          <w:p>
            <w:r>
              <w:rPr>
                <w:rFonts w:ascii="Arial" w:hAnsi="Arial"/>
                <w:b w:val="0"/>
                <w:color w:val="273246"/>
                <w:sz w:val="17"/>
              </w:rPr>
              <w:t>Flujo propuesto de carga y lectura PDF</w:t>
            </w:r>
          </w:p>
          <w:p>
            <w:r>
              <w:rPr>
                <w:rFonts w:ascii="Arial" w:hAnsi="Arial"/>
                <w:b w:val="0"/>
                <w:color w:val="273246"/>
                <w:sz w:val="17"/>
              </w:rPr>
              <w:t>Responsable propuesto: Sebastián González; revisión grupal pendiente</w:t>
            </w:r>
          </w:p>
        </w:tc>
        <w:tc>
          <w:tcPr>
            <w:tcW w:type="dxa" w:w="5726"/>
            <w:vAlign w:val="top"/>
          </w:tcPr>
          <w:p>
            <w:r>
              <w:rPr>
                <w:rFonts w:ascii="Arial" w:hAnsi="Arial"/>
                <w:b/>
                <w:color w:val="203966"/>
                <w:sz w:val="16"/>
              </w:rPr>
              <w:t>Recursos: demo, visor PDF.js, modelo clínico, especificación funcional.</w:t>
            </w:r>
          </w:p>
          <w:p>
            <w:r>
              <w:rPr>
                <w:rFonts w:ascii="Arial" w:hAnsi="Arial"/>
                <w:b w:val="0"/>
                <w:color w:val="273246"/>
                <w:sz w:val="16"/>
              </w:rPr>
              <w:t>Duración: octubre de 2026 (en curso).</w:t>
            </w:r>
          </w:p>
          <w:p>
            <w:r>
              <w:rPr>
                <w:rFonts w:ascii="Arial" w:hAnsi="Arial"/>
                <w:b w:val="0"/>
                <w:color w:val="273246"/>
                <w:sz w:val="16"/>
              </w:rPr>
              <w:t>Observaciones: propuesta reciente todavía no validada por todo el equipo; no acredita OCR ni diagnóstico con IA.</w:t>
            </w:r>
          </w:p>
          <w:p>
            <w:r>
              <w:rPr>
                <w:rFonts w:ascii="Arial" w:hAnsi="Arial"/>
                <w:b w:val="0"/>
                <w:color w:val="273246"/>
                <w:sz w:val="16"/>
              </w:rPr>
              <w:t>Estado: En curso / Ajustada.</w:t>
            </w:r>
          </w:p>
          <w:p>
            <w:r>
              <w:rPr>
                <w:rFonts w:ascii="Arial" w:hAnsi="Arial"/>
                <w:b w:val="0"/>
                <w:color w:val="273246"/>
                <w:sz w:val="16"/>
              </w:rPr>
              <w:t>Ajustes: acordar flujo, criterios de aceptación y revisión profesional antes de tratarlo como producto definitivo.</w:t>
            </w:r>
          </w:p>
        </w:tc>
      </w:tr>
      <w:tr>
        <w:tc>
          <w:tcPr>
            <w:tcW w:type="dxa" w:w="3402"/>
            <w:vAlign w:val="top"/>
            <w:shd w:fill="F4F6FA"/>
          </w:tcPr>
          <w:p>
            <w:r>
              <w:rPr>
                <w:rFonts w:ascii="Arial" w:hAnsi="Arial"/>
                <w:b/>
                <w:color w:val="203966"/>
                <w:sz w:val="17"/>
              </w:rPr>
              <w:t>Calidad de software</w:t>
            </w:r>
          </w:p>
          <w:p>
            <w:r>
              <w:rPr>
                <w:rFonts w:ascii="Arial" w:hAnsi="Arial"/>
                <w:b w:val="0"/>
                <w:color w:val="273246"/>
                <w:sz w:val="17"/>
              </w:rPr>
              <w:t>Plan, casos y resultados de pruebas Fase 2</w:t>
            </w:r>
          </w:p>
          <w:p>
            <w:r>
              <w:rPr>
                <w:rFonts w:ascii="Arial" w:hAnsi="Arial"/>
                <w:b w:val="0"/>
                <w:color w:val="273246"/>
                <w:sz w:val="17"/>
              </w:rPr>
              <w:t>Responsables: equipo; distribución detallada pendiente de acordar</w:t>
            </w:r>
          </w:p>
        </w:tc>
        <w:tc>
          <w:tcPr>
            <w:tcW w:type="dxa" w:w="5726"/>
            <w:vAlign w:val="top"/>
            <w:shd w:fill="F4F6FA"/>
          </w:tcPr>
          <w:p>
            <w:r>
              <w:rPr>
                <w:rFonts w:ascii="Arial" w:hAnsi="Arial"/>
                <w:b/>
                <w:color w:val="203966"/>
                <w:sz w:val="16"/>
              </w:rPr>
              <w:t>Recursos: requisitos aprobados, matriz de trazabilidad, entornos demo, registro de incidencias.</w:t>
            </w:r>
          </w:p>
          <w:p>
            <w:r>
              <w:rPr>
                <w:rFonts w:ascii="Arial" w:hAnsi="Arial"/>
                <w:b w:val="0"/>
                <w:color w:val="273246"/>
                <w:sz w:val="16"/>
              </w:rPr>
              <w:t>Duración: restante Fase 2 (por planificar contra Gantt).</w:t>
            </w:r>
          </w:p>
          <w:p>
            <w:r>
              <w:rPr>
                <w:rFonts w:ascii="Arial" w:hAnsi="Arial"/>
                <w:b w:val="0"/>
                <w:color w:val="273246"/>
                <w:sz w:val="16"/>
              </w:rPr>
              <w:t>Observaciones: existen pruebas automatizadas del MVP original, pero falta el paquete documental completo del flujo definitivo.</w:t>
            </w:r>
          </w:p>
          <w:p>
            <w:r>
              <w:rPr>
                <w:rFonts w:ascii="Arial" w:hAnsi="Arial"/>
                <w:b w:val="0"/>
                <w:color w:val="273246"/>
                <w:sz w:val="16"/>
              </w:rPr>
              <w:t>Estado: No iniciado como entregable formal completo.</w:t>
            </w:r>
          </w:p>
          <w:p>
            <w:r>
              <w:rPr>
                <w:rFonts w:ascii="Arial" w:hAnsi="Arial"/>
                <w:b w:val="0"/>
                <w:color w:val="273246"/>
                <w:sz w:val="16"/>
              </w:rPr>
              <w:t>Ajustes: diseñar casos positivos, negativos, seguridad, roles, archivos inválidos, auditoría e integración; registrar resultados reales.</w:t>
            </w:r>
          </w:p>
        </w:tc>
      </w:tr>
      <w:tr>
        <w:tc>
          <w:tcPr>
            <w:tcW w:type="dxa" w:w="3402"/>
            <w:vAlign w:val="top"/>
          </w:tcPr>
          <w:p>
            <w:r>
              <w:rPr>
                <w:rFonts w:ascii="Arial" w:hAnsi="Arial"/>
                <w:b/>
                <w:color w:val="203966"/>
                <w:sz w:val="17"/>
              </w:rPr>
              <w:t>Gestión del proyecto y evidencias</w:t>
            </w:r>
          </w:p>
          <w:p>
            <w:r>
              <w:rPr>
                <w:rFonts w:ascii="Arial" w:hAnsi="Arial"/>
                <w:b w:val="0"/>
                <w:color w:val="273246"/>
                <w:sz w:val="17"/>
              </w:rPr>
              <w:t>Revisión cruzada, actualización de bitácoras y entrega AVA</w:t>
            </w:r>
          </w:p>
          <w:p>
            <w:r>
              <w:rPr>
                <w:rFonts w:ascii="Arial" w:hAnsi="Arial"/>
                <w:b w:val="0"/>
                <w:color w:val="273246"/>
                <w:sz w:val="17"/>
              </w:rPr>
              <w:t>Responsable: Vicente López (liderazgo); Sebastián González y Aron Germain (validación y aportes)</w:t>
            </w:r>
          </w:p>
        </w:tc>
        <w:tc>
          <w:tcPr>
            <w:tcW w:type="dxa" w:w="5726"/>
            <w:vAlign w:val="top"/>
          </w:tcPr>
          <w:p>
            <w:r>
              <w:rPr>
                <w:rFonts w:ascii="Arial" w:hAnsi="Arial"/>
                <w:b/>
                <w:color w:val="203966"/>
                <w:sz w:val="16"/>
              </w:rPr>
              <w:t>Recursos: GitHub, actas, plan de trabajo, guías Duoc, documentación de avance.</w:t>
            </w:r>
          </w:p>
          <w:p>
            <w:r>
              <w:rPr>
                <w:rFonts w:ascii="Arial" w:hAnsi="Arial"/>
                <w:b w:val="0"/>
                <w:color w:val="273246"/>
                <w:sz w:val="16"/>
              </w:rPr>
              <w:t>Duración: continua durante Fase 2 (contrastable con Gantt).</w:t>
            </w:r>
          </w:p>
          <w:p>
            <w:r>
              <w:rPr>
                <w:rFonts w:ascii="Arial" w:hAnsi="Arial"/>
                <w:b w:val="0"/>
                <w:color w:val="273246"/>
                <w:sz w:val="16"/>
              </w:rPr>
              <w:t>Observaciones: deben consolidarse evidencias de distintas ramas y acordarse responsables finales.</w:t>
            </w:r>
          </w:p>
          <w:p>
            <w:r>
              <w:rPr>
                <w:rFonts w:ascii="Arial" w:hAnsi="Arial"/>
                <w:b w:val="0"/>
                <w:color w:val="273246"/>
                <w:sz w:val="16"/>
              </w:rPr>
              <w:t>Estado: En curso.</w:t>
            </w:r>
          </w:p>
          <w:p>
            <w:r>
              <w:rPr>
                <w:rFonts w:ascii="Arial" w:hAnsi="Arial"/>
                <w:b w:val="0"/>
                <w:color w:val="273246"/>
                <w:sz w:val="16"/>
              </w:rPr>
              <w:t>Ajustes: revisar semanalmente qué se ha publicado, qué fue probado y qué falta para la siguiente evaluación.</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top"/>
          </w:tcPr>
          <w:p w14:paraId="6B756D75" w14:textId="77777777" w:rsidR="0003309E" w:rsidRPr="00BF2EA6" w:rsidRDefault="0003309E" w:rsidP="00585A13">
            <w:pPr>
              <w:rPr>
                <w:b/>
                <w:color w:val="1F3864" w:themeColor="accent1" w:themeShade="80"/>
                <w:sz w:val="28"/>
                <w:szCs w:val="28"/>
              </w:rPr>
            </w:pPr>
            <w:r>
              <w:rPr>
                <w:rFonts w:ascii="Arial" w:hAnsi="Arial"/>
                <w:b/>
                <w:color w:val="203966"/>
                <w:sz w:val="20"/>
              </w:rPr>
              <w:t>3. Ajustes a partir del monitoreo</w:t>
            </w:r>
          </w:p>
        </w:tc>
      </w:tr>
      <w:tr w:rsidR="0003309E" w14:paraId="08F9EDA3" w14:textId="77777777" w:rsidTr="00C5122E">
        <w:trPr>
          <w:trHeight w:val="800"/>
        </w:trPr>
        <w:tc>
          <w:tcPr>
            <w:tcW w:w="9498" w:type="dxa"/>
            <w:shd w:val="clear" w:color="auto" w:fill="D9E2F3" w:themeFill="accent1" w:themeFillTint="33"/>
            <w:vAlign w:val="top"/>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type="auto" w:w="0"/>
        <w:jc w:val="center"/>
        <w:tblLayout w:type="fixed"/>
        <w:tblLook w:firstColumn="1" w:firstRow="1" w:lastColumn="0" w:lastRow="0" w:noHBand="0" w:noVBand="1" w:val="04A0"/>
      </w:tblPr>
      <w:tblGrid>
        <w:gridCol w:w="9298"/>
      </w:tblGrid>
      <w:tr>
        <w:tc>
          <w:tcPr>
            <w:tcW w:type="dxa" w:w="9354"/>
            <w:tcMar>
              <w:top w:w="90" w:type="dxa"/>
              <w:left w:w="135" w:type="dxa"/>
              <w:bottom w:w="90" w:type="dxa"/>
              <w:right w:w="135" w:type="dxa"/>
            </w:tcMar>
          </w:tcPr>
          <w:p>
            <w:r>
              <w:rPr>
                <w:rFonts w:ascii="Arial" w:hAnsi="Arial"/>
                <w:b/>
                <w:color w:val="203966"/>
                <w:sz w:val="18"/>
              </w:rPr>
              <w:t>Factores que han facilitado y/o dificultado el desarrollo del plan de trabajo</w:t>
            </w:r>
          </w:p>
          <w:p>
            <w:r>
              <w:rPr>
                <w:rFonts w:ascii="Arial" w:hAnsi="Arial"/>
                <w:sz w:val="18"/>
              </w:rPr>
              <w:t>Facilitadores: acceso al modelo de datos de Alloxentric, documentación técnica, colaboración mediante GitHub, reutilización de FastAPI y MongoDB, pruebas automatizadas y un entorno de demostración disponible para revisión externa.</w:t>
            </w:r>
          </w:p>
          <w:p>
            <w:r>
              <w:rPr>
                <w:rFonts w:ascii="Arial" w:hAnsi="Arial"/>
                <w:sz w:val="18"/>
              </w:rPr>
              <w:t>Dificultades: cambios en el alcance, decisiones arquitectónicas por ratificar, autorización pendiente del uso de IA clínica, calendarios académico y del cliente, y falta de sincronización entre ramas y documentación. Como respuesta, el equipo registra las decisiones pendientes y diferencia avances verificados de propuestas.</w:t>
            </w:r>
          </w:p>
        </w:tc>
      </w:tr>
      <w:tr>
        <w:tc>
          <w:tcPr>
            <w:tcW w:type="dxa" w:w="9354"/>
            <w:tcMar>
              <w:top w:w="90" w:type="dxa"/>
              <w:left w:w="135" w:type="dxa"/>
              <w:bottom w:w="90" w:type="dxa"/>
              <w:right w:w="135" w:type="dxa"/>
            </w:tcMar>
          </w:tcPr>
          <w:p>
            <w:r>
              <w:rPr>
                <w:rFonts w:ascii="Arial" w:hAnsi="Arial"/>
                <w:b/>
                <w:color w:val="203966"/>
                <w:sz w:val="18"/>
              </w:rPr>
              <w:t>Actividades ajustadas o eliminadas</w:t>
            </w:r>
          </w:p>
          <w:p>
            <w:r>
              <w:rPr>
                <w:rFonts w:ascii="Arial" w:hAnsi="Arial"/>
                <w:sz w:val="18"/>
              </w:rPr>
              <w:t>Se priorizó el cronograma académico de Duoc UC y se mantuvo la entrega incremental de demostraciones. El prototipo se trabajó con herramientas compatibles con WellQ (FastAPI y MongoDB), sin asumir que todas las decisiones institucionales estén aprobadas.</w:t>
            </w:r>
          </w:p>
          <w:p>
            <w:r>
              <w:rPr>
                <w:rFonts w:ascii="Arial" w:hAnsi="Arial"/>
                <w:sz w:val="18"/>
              </w:rPr>
              <w:t>La carga y lectura de PDF representa un ajuste propuesto respecto del flujo anterior con marcadores sintéticos. Debe ratificarse antes de actualizar definitivamente los objetivos, los diagramas y las pruebas. No se han declarado tareas eliminadas sin acuerdo ni constancia documental.</w:t>
            </w:r>
          </w:p>
        </w:tc>
      </w:tr>
      <w:tr>
        <w:tc>
          <w:tcPr>
            <w:tcW w:type="dxa" w:w="9354"/>
            <w:tcMar>
              <w:top w:w="90" w:type="dxa"/>
              <w:left w:w="135" w:type="dxa"/>
              <w:bottom w:w="90" w:type="dxa"/>
              <w:right w:w="135" w:type="dxa"/>
            </w:tcMar>
          </w:tcPr>
          <w:p>
            <w:r>
              <w:rPr>
                <w:rFonts w:ascii="Arial" w:hAnsi="Arial"/>
                <w:b/>
                <w:color w:val="203966"/>
                <w:sz w:val="18"/>
              </w:rPr>
              <w:t>Actividades no iniciadas o con retraso</w:t>
            </w:r>
          </w:p>
          <w:p>
            <w:r>
              <w:rPr>
                <w:rFonts w:ascii="Arial" w:hAnsi="Arial"/>
                <w:sz w:val="18"/>
              </w:rPr>
              <w:t>Pendientes: ratificación del alcance; revisión/publicación del código exacto desplegado; actualización de casos de uso, diagramas y mockups; y plan, casos y resultados de pruebas del flujo finalmente acordado.</w:t>
            </w:r>
          </w:p>
          <w:p>
            <w:r>
              <w:rPr>
                <w:rFonts w:ascii="Arial" w:hAnsi="Arial"/>
                <w:sz w:val="18"/>
              </w:rPr>
              <w:t>Estrategia: realizar reunión con acta y responsables; publicar la rama de despliegue y abrir PR; ejecutar revisión cruzada de seguridad y funcionalidad; actualizar la carta Gantt y consolidar evidencias en GitHub antes de la entrega. No se presentarán resultados de pruebas no realizadas ni diagnóstico mediante IA como capacidad terminada.</w:t>
            </w:r>
          </w:p>
        </w:tc>
      </w:tr>
    </w:tbl>
    <w:p w14:paraId="7BD7514A" w14:textId="77777777" w:rsidR="0003309E" w:rsidRDefault="0003309E" w:rsidP="0003309E">
      <w:pPr>
        <w:rPr>
          <w:rFonts w:cs="Calibri Light"/>
          <w:color w:val="595959" w:themeColor="text1" w:themeTint="A6"/>
          <w:sz w:val="24"/>
          <w:szCs w:val="24"/>
          <w:lang w:val="es-ES"/>
        </w:rPr>
      </w:pPr>
    </w:p>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p w14:paraId="23A72E3B" w14:textId="77777777" w:rsidR="0003309E" w:rsidRPr="0003309E" w:rsidRDefault="0003309E">
      <w:pPr>
        <w:rPr>
          <w:lang w:val="es-ES"/>
        </w:rPr>
      </w:pPr>
    </w:p>
    <w:sectPr w:rsidR="0003309E" w:rsidRPr="0003309E">
      <w:headerReference w:type="default" r:id="rId10"/>
      <w:pgSz w:w="11906" w:h="16838"/>
      <w:pgMar w:top="1417" w:right="1276"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