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p>
            <w:r>
              <w:rPr>
                <w:rFonts w:ascii="Arial" w:hAnsi="Arial"/>
                <w:b/>
                <w:color w:val="203966"/>
                <w:sz w:val="17"/>
              </w:rPr>
              <w:t>Estudiante: Vicente López   |   Proyecto: WellQ Medical Exams   |   Fecha de revisión: 12/10/2026</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cantSplit/>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cantSplit/>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ascii="Arial" w:hAnsi="Arial"/>
                <w:b/>
                <w:color w:val="203966"/>
                <w:sz w:val="17"/>
                <w:szCs w:val="24"/>
              </w:rPr>
              <w:t>¿Has podido cumplir todas las actividades en los tiempos definidos? ¿Qué factores han facilitado o dificultado el desarrollo de las actividades de tu plan de trabajo?</w:t>
            </w:r>
          </w:p>
          <w:p>
            <w:r>
              <w:rPr>
                <w:rFonts w:ascii="Arial" w:hAnsi="Arial"/>
                <w:b w:val="0"/>
                <w:color w:val="273246"/>
                <w:sz w:val="18"/>
              </w:rPr>
              <w:t>Durante esta fase cumplí la coordinación general del proyecto, aunque no todas las actividades se ejecutaron en el orden ni los tiempos planificados al principio. A comienzos de octubre el profesor indicó que debíamos priorizar el cronograma académico de Duoc por sobre los hitos comerciales de Alloxentric, lo que obligó a reordenar el plan de trabajo sobre la marcha. Avancé en la organización del repositorio para Fase 2 (estructura de carpetas, nomenclatura de evidencias), en la documentación de arquitectura (diagramas de casos de uso, actividad, clases y modelo de BD, derivados directamente del código real de Sebastián) y en un plan de pruebas formal. También coordiné con Karina las fechas de entrega y el despliegue continuo que pidió Alloxentric.</w:t>
            </w:r>
          </w:p>
          <w:p>
            <w:r>
              <w:rPr>
                <w:rFonts w:ascii="Arial" w:hAnsi="Arial"/>
                <w:b w:val="0"/>
                <w:color w:val="273246"/>
                <w:sz w:val="18"/>
              </w:rPr>
              <w:t>Lo que más facilitó el avance fue tener el repositorio y las bitácoras como fuente única de verdad: cualquier duda se resuelve revisando el historial de Git en vez de reconstruirla por WhatsApp. Lo que más lo dificultó fue la disponibilidad de cupo de Sebastián en Codex, que lo dejó sin poder avanzar código casi una semana (3 al 9 de octubre), y que el alcance del producto cambió de forma relevante —de marcadores sintéticos a carga de exámenes en PDF— sin que lo acordáramos formalmente como equipo antes de implementarlo.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cantSplit/>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cantSplit/>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ascii="Arial" w:hAnsi="Arial"/>
                <w:b/>
                <w:color w:val="203966"/>
                <w:sz w:val="17"/>
                <w:szCs w:val="24"/>
              </w:rPr>
              <w:t xml:space="preserve">¿De qué manera has enfrentado y/o planeas enfrentar las dificultades que han afectado el desarrollo de tu Proyecto APT? </w:t>
            </w:r>
          </w:p>
          <w:p>
            <w:r>
              <w:rPr>
                <w:rFonts w:ascii="Arial" w:hAnsi="Arial"/>
                <w:b w:val="0"/>
                <w:color w:val="273246"/>
                <w:sz w:val="18"/>
              </w:rPr>
              <w:t>Frente al bloqueo de cupo de Sebastián, en vez de esperar sin avanzar, usé ese tiempo para adelantar todo lo que no dependía de su código: diagramas, plan de pruebas, mockups de interfaz y documentación de arquitectura, siempre basados en el código real que ya existía en sus ramas para no inventar funcionalidad que no estuviera implementada. Cuando retomó con un cambio de alcance no acordado, lo documentamos como propuesta pendiente de ratificación en la bitácora de stakeholders en vez de descartarlo o darlo por aprobado sin más.</w:t>
            </w:r>
          </w:p>
          <w:p>
            <w:r>
              <w:rPr>
                <w:rFonts w:ascii="Arial" w:hAnsi="Arial"/>
                <w:b w:val="0"/>
                <w:color w:val="273246"/>
                <w:sz w:val="18"/>
              </w:rPr>
              <w:t>Para que esto no se repita, formalizamos un protocolo de trabajo (AGENTS.md y un documento nuevo de coordinación en paralelo) que define responsabilidades por defecto, qué decisiones no puede tomar ninguna IA por su cuenta, y una cola de tareas compartida para adelantar trabajo sin chocar ni duplicar esfuerzo. También empecé a probar yo mismo el MVP desplegado —simulando el flujo completo como paciente y como profesional— en vez de solo confiar en que «ya funciona», lo que permitió encontrar y reportar dos errores de interfaz antes de que afectaran una demostración real.</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cantSplit/>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cantSplit/>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ascii="Arial" w:hAnsi="Arial"/>
                <w:b/>
                <w:color w:val="203966"/>
                <w:sz w:val="17"/>
                <w:szCs w:val="24"/>
              </w:rPr>
              <w:lastRenderedPageBreak/>
              <w:t xml:space="preserve">¿Cómo evalúas tu trabajo? ¿Qué destacas y qué podrías hacer para mejorar tu trabajo? </w:t>
            </w:r>
          </w:p>
          <w:p>
            <w:r>
              <w:rPr>
                <w:rFonts w:ascii="Arial" w:hAnsi="Arial"/>
                <w:b w:val="0"/>
                <w:color w:val="273246"/>
                <w:sz w:val="18"/>
              </w:rPr>
              <w:t>Evalúo mi trabajo en esta fase como positivo en la parte de coordinación y documentación, que es donde más aporto dado mi rol de líder del equipo. Destaco haber mantenido el repositorio ordenado y trazable (estructura de Fase 2, bitácoras actualizadas, registro de aportes de IA), haber verificado en terreno el MVP que Sebastián desplegó en vez de darlo por bueno sin probarlo, y haber dejado un protocolo explícito de coordinación para que el equipo —y los asistentes de IA que usamos— no choquen entre sí.</w:t>
            </w:r>
          </w:p>
          <w:p>
            <w:r>
              <w:rPr>
                <w:rFonts w:ascii="Arial" w:hAnsi="Arial"/>
                <w:b w:val="0"/>
                <w:color w:val="273246"/>
                <w:sz w:val="18"/>
              </w:rPr>
              <w:t>Lo que podría mejorar es mi seguimiento técnico directo del código: dependo bastante de que Sebastián reporte el estado de su rama, y varias veces me enteré de avances importantes —o de bloqueos, como el código que no estaba subido a GitHub— después de que ya habían ocurrido. También me falta ser más proactivo en convertir las conversaciones espontáneas de WhatsApp en decisiones formales registradas en la bitácora de stakeholders, en vez de dejarlas como acuerdos verbales que después hay que reconstruir.</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cantSplit/>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cantSplit/>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ascii="Arial" w:hAnsi="Arial"/>
                <w:b/>
                <w:color w:val="203966"/>
                <w:sz w:val="17"/>
                <w:szCs w:val="24"/>
              </w:rPr>
              <w:t>¿Qué inquietudes te quedan sobre cómo proceder? ¿Qué pregunta te gustaría hacerle a tu docente o a tus pares?</w:t>
            </w:r>
          </w:p>
          <w:p>
            <w:r>
              <w:rPr>
                <w:rFonts w:ascii="Arial" w:hAnsi="Arial"/>
                <w:b w:val="0"/>
                <w:color w:val="273246"/>
                <w:sz w:val="18"/>
              </w:rPr>
              <w:t>Mi principal inquietud es si el nuevo flujo de carga de exámenes en PDF que implementó Sebastián reemplaza oficialmente el alcance que veníamos documentando (marcadores sintéticos, diagramas, mockups) o si debe tratarse como una propuesta separada hasta que el equipo y Alloxentric la ratifiquen — hoy conviven ambas versiones en el repositorio y no quiero que la documentación de Fase 2 describa algo que todavía no está aprobado como definitivo.</w:t>
            </w:r>
          </w:p>
          <w:p>
            <w:r>
              <w:rPr>
                <w:rFonts w:ascii="Arial" w:hAnsi="Arial"/>
                <w:b w:val="0"/>
                <w:color w:val="273246"/>
                <w:sz w:val="18"/>
              </w:rPr>
              <w:t>Mi pregunta principal sería: ¿cómo se evalúa un proyecto cuyo alcance técnico evolucionó durante la propia fase —contra el plan original, contra el estado actual, o documentando explícitamente el cambio de rumbo y su justificación— y qué evidencias mínimas de Fase 2 son exigibles formalmente más allá de esta pauta de reflexión?</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cantSplit/>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cantSplit/>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ascii="Arial" w:hAnsi="Arial"/>
                <w:b/>
                <w:color w:val="203966"/>
                <w:sz w:val="17"/>
                <w:szCs w:val="24"/>
              </w:rPr>
              <w:t>¿Consideran que las actividades deben ser redistribuidas entre los miembros del grupo? ¿Hay nuevas actividades que deban ser asignadas a algún miembro del grupo?</w:t>
            </w:r>
          </w:p>
          <w:p>
            <w:r>
              <w:rPr>
                <w:rFonts w:ascii="Arial" w:hAnsi="Arial"/>
                <w:b w:val="0"/>
                <w:color w:val="273246"/>
                <w:sz w:val="18"/>
              </w:rPr>
              <w:t>Sí, considero que conviene formalizar la redistribución que ya empezamos a aplicar en la práctica durante esta fase. Sebastián se hace cargo del código del MVP, las pruebas automatizadas y el despliegue técnico (Vercel, MongoDB Atlas); yo mantengo la coordinación general, la documentación de arquitectura y pruebas, la interlocución con Karina y Max, y además asumí probar en vivo lo que Sebastián despliega antes de darlo por validado; y a Aron le correspondería reforzar los diagramas, los casos de prueba formales y la revisión cruzada del trabajo de ambos, que es donde el equipo tiene menos cobertura hoy.</w:t>
            </w:r>
          </w:p>
          <w:p>
            <w:r>
              <w:rPr>
                <w:rFonts w:ascii="Arial" w:hAnsi="Arial"/>
                <w:b w:val="0"/>
                <w:color w:val="273246"/>
                <w:sz w:val="18"/>
              </w:rPr>
              <w:t>Esta tampoco es una reasignación cerrada: la dejamos registrada como propuesta en el documento de coordinación del repositorio, para confirmarla en una reunión de equipo.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cantSplit/>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cantSplit/>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ascii="Arial" w:hAnsi="Arial"/>
                <w:b/>
                <w:color w:val="203966"/>
                <w:sz w:val="17"/>
                <w:szCs w:val="24"/>
              </w:rPr>
              <w:t>¿Cómo evalúan el trabajo en grupo? ¿Qué aspectos positivos destacan? ¿Qué aspectos podrían mejorar?</w:t>
            </w:r>
          </w:p>
          <w:p>
            <w:r>
              <w:rPr>
                <w:rFonts w:ascii="Arial" w:hAnsi="Arial"/>
                <w:b w:val="0"/>
                <w:color w:val="273246"/>
                <w:sz w:val="18"/>
              </w:rPr>
              <w:t>Como equipo destaco que, pese a los bloqueos de cupo y los cambios de alcance, seguimos usando el repositorio y las bitácoras como registro común en vez de perder el hilo por WhatsApp, y que cuando aparece un problema —código no subido, errores de interfaz, decisiones sin ratificar— se documenta en vez de ocultarse. También valoro que Sebastián, pese a trabajar con tiempos muy ajustados de cupo, avanzó con disciplina de pruebas automatizadas y dejó trazabilidad de lo que hizo.</w:t>
            </w:r>
          </w:p>
          <w:p>
            <w:r>
              <w:rPr>
                <w:rFonts w:ascii="Arial" w:hAnsi="Arial"/>
                <w:b w:val="0"/>
                <w:color w:val="273246"/>
                <w:sz w:val="18"/>
              </w:rPr>
              <w:t>Lo que podemos mejorar es comunicar los cambios de alcance antes de implementarlos y no después, para no generar trabajo paralelo —como diagramas y mockups— que después hay que decidir si se actualiza o se descarta. También nos falta reunirnos de forma más regular y no solo reactivamente cuando hay un bloqueo: decisiones importantes como el motor de base de datos o el alcance de la IA siguen abiertas hace semanas por falta de una instancia formal para cerrarlas.</w:t>
            </w: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