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Timeline：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目前element（好像没用上）、inventory、project模块是用jQuery写的，introduction是原生写的，这些需要重写为vue2/3，其余模块代码可以改一下复用，然后将原有UI尽量修改为figma设计稿的样子</w:t>
      </w:r>
      <w:r>
        <w:rPr>
          <w:rFonts w:hint="eastAsia"/>
          <w:color w:val="FF0000"/>
          <w:lang w:val="en-US" w:eastAsia="zh-CN"/>
        </w:rPr>
        <w:t>（2week）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Manual size chart analyse模块可能需要重新设计，需要理解逻辑</w:t>
      </w:r>
      <w:r>
        <w:rPr>
          <w:rFonts w:hint="eastAsia"/>
          <w:color w:val="FF0000"/>
          <w:lang w:val="en-US" w:eastAsia="zh-CN"/>
        </w:rPr>
        <w:t>（1week）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未完成的模块有Introduction、login、size management-&gt;Auto grading for MTM</w:t>
      </w:r>
      <w:r>
        <w:rPr>
          <w:rFonts w:hint="eastAsia"/>
          <w:color w:val="0000FF"/>
          <w:lang w:val="en-US" w:eastAsia="zh-CN"/>
        </w:rPr>
        <w:t>(不知道数据库有没有写)</w:t>
      </w:r>
      <w:r>
        <w:rPr>
          <w:rFonts w:hint="eastAsia"/>
          <w:color w:val="auto"/>
          <w:lang w:val="en-US" w:eastAsia="zh-CN"/>
        </w:rPr>
        <w:t>、report(最后考虑)</w:t>
      </w:r>
      <w:r>
        <w:rPr>
          <w:rFonts w:hint="eastAsia"/>
          <w:color w:val="FF0000"/>
          <w:lang w:val="en-US" w:eastAsia="zh-CN"/>
        </w:rPr>
        <w:t>（2.5weeks）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数据调试，UI和功能验收</w:t>
      </w:r>
      <w:r>
        <w:rPr>
          <w:rFonts w:hint="eastAsia"/>
          <w:color w:val="FF0000"/>
          <w:lang w:val="en-US" w:eastAsia="zh-CN"/>
        </w:rPr>
        <w:t>（1week）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技术点：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用VueRouter实现SPA单页面，用路由替换掉现在iframe内联框架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4440"/>
        <w:gridCol w:w="1085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Path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功能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路由级别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views/introduction/IntroductionPage.vue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介绍页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一级路由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firstLine="210" w:firstLineChars="10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|—/solutions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views/introduction/subpage/SolutionsPage.vue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二级路由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firstLine="210" w:firstLineChars="10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|—/competitor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views/introduction/subpage/CompetitorPage.vue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二级路由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firstLine="210" w:firstLineChars="10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|—/benefits</w:t>
            </w:r>
          </w:p>
        </w:tc>
        <w:tc>
          <w:tcPr>
            <w:tcW w:w="44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views/introduction/subpage/BenefitsPage.vue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二级路由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firstLine="210" w:firstLineChars="10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|—/competitor</w:t>
            </w:r>
          </w:p>
        </w:tc>
        <w:tc>
          <w:tcPr>
            <w:tcW w:w="44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views/introduction/subpage/CompetitorPage.vue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二级路由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auto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4648"/>
        <w:gridCol w:w="1072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/login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views/login/LoginPage.vue</w:t>
            </w:r>
          </w:p>
        </w:tc>
        <w:tc>
          <w:tcPr>
            <w:tcW w:w="10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登录页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一级路由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views/bisystem/BISystemPage.vue</w:t>
            </w:r>
          </w:p>
        </w:tc>
        <w:tc>
          <w:tcPr>
            <w:tcW w:w="10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后台系统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一级路由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firstLine="210" w:firstLineChars="10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|—/dashboard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views/dashboard/DashboardPage.vue</w:t>
            </w:r>
          </w:p>
        </w:tc>
        <w:tc>
          <w:tcPr>
            <w:tcW w:w="10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仪表盘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二级路由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firstLine="210" w:firstLineChars="10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....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....</w:t>
            </w:r>
          </w:p>
        </w:tc>
        <w:tc>
          <w:tcPr>
            <w:tcW w:w="10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请求接口代码整合，统一进行封装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使用sass样式预处理，简化样式代码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适配方案选择rem+媒体查询，可能会涉及到ui设计稿布局上的一些小修改，如宽度小于多少时是否需要将侧边栏收起等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Report模块需要用到echarts可视化，UI图待设计（最后考虑）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E11C9"/>
    <w:multiLevelType w:val="singleLevel"/>
    <w:tmpl w:val="90EE11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22D80F"/>
    <w:multiLevelType w:val="singleLevel"/>
    <w:tmpl w:val="2D22D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MzNiYjFkMzQ1MGI1ZDBiNTg3ZGIxOTVlMTEyNTEifQ=="/>
  </w:docVars>
  <w:rsids>
    <w:rsidRoot w:val="596A30B1"/>
    <w:rsid w:val="04DD0015"/>
    <w:rsid w:val="4B48791F"/>
    <w:rsid w:val="52932F9A"/>
    <w:rsid w:val="5969563F"/>
    <w:rsid w:val="596A30B1"/>
    <w:rsid w:val="5DDF692A"/>
    <w:rsid w:val="70C8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2024-03-12T08:11:00Z</dcterms:created>
  <dc:creator>淮</dc:creator>
  <cp:lastModifiedBy>淮</cp:lastModifiedBy>
  <dcterms:modified xsi:type="dcterms:W3CDTF">2024-03-15T09:57:54Z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A8E7265392694D60A715CF3E8783333C_11</vt:lpwstr>
  </property>
</Properties>
</file>