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Sex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predictability</w:t>
      </w:r>
      <w:r>
        <w:t xml:space="preserve"> </w:t>
      </w:r>
      <w:r>
        <w:t xml:space="preserve">of</w:t>
      </w:r>
      <w:r>
        <w:t xml:space="preserve"> </w:t>
      </w:r>
      <w:r>
        <w:t xml:space="preserve">mobility</w:t>
      </w:r>
    </w:p>
    <w:p>
      <w:pPr>
        <w:pStyle w:val="Author"/>
      </w:pPr>
      <w:r>
        <w:t xml:space="preserve">Clint</w:t>
      </w:r>
      <w:r>
        <w:t xml:space="preserve"> </w:t>
      </w:r>
      <w:r>
        <w:t xml:space="preserve">D.</w:t>
      </w:r>
      <w:r>
        <w:t xml:space="preserve"> </w:t>
      </w:r>
      <w:r>
        <w:t xml:space="preserve">Kelly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Département des Sciences biologiques, Université du Québec à Montréal, Montréal, Canada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Clint D. Kelly &lt;kelly.clint@uqam.ca&gt;</w:t>
        </w:r>
      </w:hyperlink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one-supp"/>
          <w:p>
            <w:pPr>
              <w:pStyle w:val="Compact"/>
              <w:jc w:val="center"/>
            </w:pPr>
            <w:r>
              <w:drawing>
                <wp:inline>
                  <wp:extent cx="5892800" cy="5892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ure_1_sup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589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1: Among-individual correlation (r) between mobility behaviour type and behavioural predictability. Red squares represent individual (n=33) posterior means and 95% credible intervals.</w:t>
            </w:r>
          </w:p>
          <w:bookmarkEnd w:id="24"/>
        </w:tc>
      </w:tr>
    </w:tbl>
    <w:sectPr w:rsidR="00D16E09" w:rsidSect="00851699">
      <w:pgSz w:h="15840" w:w="12240"/>
      <w:pgMar w:bottom="1440" w:footer="737" w:gutter="0" w:header="737" w:left="1474" w:right="1474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variable"/>
    <w:sig w:usb0="0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D5E45B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5E26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37EE0F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D76EA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8ACF7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5CDB1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F883DB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B5A45A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8826D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543F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05CEFC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E3D24D9"/>
    <w:multiLevelType w:val="multilevel"/>
    <w:tmpl w:val="1E004D3C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A572E80"/>
    <w:multiLevelType w:val="hybridMultilevel"/>
    <w:tmpl w:val="1E004D3C"/>
    <w:lvl w:ilvl="0" w:tplc="99CE2436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21">
    <w:nsid w:val="A993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16cid:durableId="1845054215" w:numId="1">
    <w:abstractNumId w:val="10"/>
  </w:num>
  <w:num w16cid:durableId="1866140359" w:numId="2">
    <w:abstractNumId w:val="0"/>
  </w:num>
  <w:num w16cid:durableId="2053848946" w:numId="3">
    <w:abstractNumId w:val="1"/>
  </w:num>
  <w:num w16cid:durableId="1342463185" w:numId="4">
    <w:abstractNumId w:val="2"/>
  </w:num>
  <w:num w16cid:durableId="1274483611" w:numId="5">
    <w:abstractNumId w:val="3"/>
  </w:num>
  <w:num w16cid:durableId="995885320" w:numId="6">
    <w:abstractNumId w:val="8"/>
  </w:num>
  <w:num w16cid:durableId="896205620" w:numId="7">
    <w:abstractNumId w:val="4"/>
  </w:num>
  <w:num w16cid:durableId="1489981213" w:numId="8">
    <w:abstractNumId w:val="5"/>
  </w:num>
  <w:num w16cid:durableId="829293693" w:numId="9">
    <w:abstractNumId w:val="6"/>
  </w:num>
  <w:num w16cid:durableId="456608145" w:numId="10">
    <w:abstractNumId w:val="7"/>
  </w:num>
  <w:num w16cid:durableId="75834470" w:numId="11">
    <w:abstractNumId w:val="9"/>
  </w:num>
  <w:num w16cid:durableId="1124497384" w:numId="12">
    <w:abstractNumId w:val="12"/>
  </w:num>
  <w:num w16cid:durableId="442194333" w:numId="13">
    <w:abstractNumId w:val="11"/>
  </w:num>
  <w:num w:numId="1000">
    <w:abstractNumId w:val="990"/>
  </w:num>
  <w:num w:numId="1001">
    <w:abstractNumId w:val="993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5421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0BD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0509B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E03BB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74662F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0"/>
    </w:rPr>
  </w:style>
  <w:style w:styleId="Heading6" w:type="paragraph">
    <w:name w:val="heading 6"/>
    <w:basedOn w:val="Normal"/>
    <w:next w:val="BodyText"/>
    <w:uiPriority w:val="9"/>
    <w:unhideWhenUsed/>
    <w:qFormat/>
    <w:rsid w:val="000E7DF5"/>
    <w:pPr>
      <w:keepNext/>
      <w:keepLines/>
      <w:spacing w:after="0" w:before="200"/>
      <w:jc w:val="center"/>
      <w:outlineLvl w:val="5"/>
    </w:pPr>
    <w:rPr>
      <w:rFonts w:ascii="Times New Roman" w:cstheme="majorBidi" w:eastAsiaTheme="majorEastAsia" w:hAnsi="Times New Roman"/>
      <w:color w:themeColor="text1" w:val="000000"/>
      <w:sz w:val="28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B122AB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F5E62"/>
    <w:pPr>
      <w:spacing w:after="180" w:before="180" w:line="48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D10C6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921965"/>
    <w:rPr>
      <w:rFonts w:ascii="Times New Roman" w:hAnsi="Times New Roman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5E62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8E79E4"/>
  </w:style>
  <w:style w:styleId="TableGrid" w:type="table">
    <w:name w:val="Table Grid"/>
    <w:aliases w:val="Table Paper"/>
    <w:basedOn w:val="TableNormal"/>
    <w:rsid w:val="00C91552"/>
    <w:pPr>
      <w:spacing w:after="0"/>
    </w:pPr>
    <w:rPr>
      <w:rFonts w:ascii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A" w:type="table">
    <w:name w:val="TableA"/>
    <w:basedOn w:val="TableGrid"/>
    <w:uiPriority w:val="99"/>
    <w:rsid w:val="00FD1322"/>
    <w:rPr>
      <w:rFonts w:cs="Times New Roman (Body CS)"/>
    </w:rPr>
    <w:tblPr/>
  </w:style>
  <w:style w:styleId="PlainTable1" w:type="table">
    <w:name w:val="Plain Table 1"/>
    <w:basedOn w:val="TableNormal"/>
    <w:rsid w:val="00921965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GridTable2" w:type="table">
    <w:name w:val="Grid Table 2"/>
    <w:basedOn w:val="TableNormal"/>
    <w:rsid w:val="00921965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mailto:kelly.clint@uqam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kelly.clint@uqam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word_style_template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Sex difference in the predictability of mobility</dc:title>
  <dc:creator>Clint D. Kelly1,✉</dc:creator>
  <cp:keywords/>
  <dcterms:created xsi:type="dcterms:W3CDTF">2024-08-07T15:25:22Z</dcterms:created>
  <dcterms:modified xsi:type="dcterms:W3CDTF">2024-08-07T15:25:22Z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behavioral-ecology.csl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