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Material:</w:t>
      </w:r>
      <w:r>
        <w:t xml:space="preserve"> </w:t>
      </w:r>
      <w:r>
        <w:t xml:space="preserve">Sex</w:t>
      </w:r>
      <w:r>
        <w:t xml:space="preserve"> </w:t>
      </w:r>
      <w:r>
        <w:t xml:space="preserve">difference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predictability</w:t>
      </w:r>
      <w:r>
        <w:t xml:space="preserve"> </w:t>
      </w:r>
      <w:r>
        <w:t xml:space="preserve">of</w:t>
      </w:r>
      <w:r>
        <w:t xml:space="preserve"> </w:t>
      </w:r>
      <w:r>
        <w:t xml:space="preserve">mobility</w:t>
      </w:r>
    </w:p>
    <w:p>
      <w:pPr>
        <w:pStyle w:val="Author"/>
      </w:pPr>
      <w:r>
        <w:t xml:space="preserve">Clint</w:t>
      </w:r>
      <w:r>
        <w:t xml:space="preserve"> </w:t>
      </w:r>
      <w:r>
        <w:t xml:space="preserve">D.</w:t>
      </w:r>
      <w:r>
        <w:t xml:space="preserve"> </w:t>
      </w:r>
      <w:r>
        <w:t xml:space="preserve">Kelly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Département des Sciences biologiques, Université du Québec à Montréal, Montréal, Canada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Clint D. Kelly &lt;kelly.clint@uqam.ca&gt;</w:t>
        </w:r>
      </w:hyperlink>
    </w:p>
    <w:p>
      <w:r>
        <w:br w:type="page"/>
      </w:r>
    </w:p>
    <w:p>
      <w:pPr>
        <w:pStyle w:val="BodyText"/>
      </w:pPr>
      <w:r>
        <w:t xml:space="preserve">To determine the fraction of the total variance that is explained by variance in sex, I included sex as a fixed factor in my repeatability analysis and then extracted the variance explained by it. The variation explained by sex was 0.079 [0.001, 0.253].</w:t>
      </w:r>
    </w:p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one-supp"/>
          <w:p>
            <w:pPr>
              <w:pStyle w:val="Compact"/>
              <w:jc w:val="center"/>
            </w:pPr>
            <w:r>
              <w:drawing>
                <wp:inline>
                  <wp:extent cx="5892800" cy="58928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figure_1_sup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2800" cy="589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S 1: Frequency histograms of nightly distance travelled (m) by female (n = 127 total observations) and male (n = 108 total observations) Cook Strait giant weta (</w:t>
            </w:r>
            <w:r>
              <w:rPr>
                <w:iCs/>
                <w:i/>
              </w:rPr>
              <w:t xml:space="preserve">Deinacrida rugosa</w:t>
            </w:r>
            <w:r>
              <w:t xml:space="preserve">) on Maud Island, NZ. Total observations are from n = 16 females and n = 17 males.</w:t>
            </w:r>
          </w:p>
          <w:bookmarkEnd w:id="24"/>
        </w:tc>
      </w:tr>
    </w:tbl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wo-supp"/>
          <w:p>
            <w:pPr>
              <w:pStyle w:val="Compact"/>
              <w:jc w:val="center"/>
            </w:pPr>
            <w:r>
              <w:drawing>
                <wp:inline>
                  <wp:extent cx="5892800" cy="58928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figure_2_supp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2800" cy="5892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S 2: Among-individual correlation (r) between mobility behaviour type and behavioural predictability for females (red, n=16) and males (blue, n=17). Points represent individual posterior means and 95% credible intervals.</w:t>
            </w:r>
          </w:p>
          <w:bookmarkEnd w:id="28"/>
        </w:tc>
      </w:tr>
    </w:tbl>
    <w:sectPr w:rsidR="00D16E09" w:rsidSect="00851699">
      <w:pgSz w:h="15840" w:w="12240"/>
      <w:pgMar w:bottom="1440" w:footer="737" w:gutter="0" w:header="737" w:left="1474" w:right="1474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variable"/>
    <w:sig w:usb0="00002A87" w:usb1="80000000" w:usb2="00000008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D5E45B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25E26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37EE0F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5D76EAF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8ACF7E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1D5CDB1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F883DB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B5A45A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8826D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543F5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05CEFC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E3D24D9"/>
    <w:multiLevelType w:val="multilevel"/>
    <w:tmpl w:val="1E004D3C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4A572E80"/>
    <w:multiLevelType w:val="hybridMultilevel"/>
    <w:tmpl w:val="1E004D3C"/>
    <w:lvl w:ilvl="0" w:tplc="99CE2436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321">
    <w:nsid w:val="A993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16cid:durableId="1845054215" w:numId="1">
    <w:abstractNumId w:val="10"/>
  </w:num>
  <w:num w16cid:durableId="1866140359" w:numId="2">
    <w:abstractNumId w:val="0"/>
  </w:num>
  <w:num w16cid:durableId="2053848946" w:numId="3">
    <w:abstractNumId w:val="1"/>
  </w:num>
  <w:num w16cid:durableId="1342463185" w:numId="4">
    <w:abstractNumId w:val="2"/>
  </w:num>
  <w:num w16cid:durableId="1274483611" w:numId="5">
    <w:abstractNumId w:val="3"/>
  </w:num>
  <w:num w16cid:durableId="995885320" w:numId="6">
    <w:abstractNumId w:val="8"/>
  </w:num>
  <w:num w16cid:durableId="896205620" w:numId="7">
    <w:abstractNumId w:val="4"/>
  </w:num>
  <w:num w16cid:durableId="1489981213" w:numId="8">
    <w:abstractNumId w:val="5"/>
  </w:num>
  <w:num w16cid:durableId="829293693" w:numId="9">
    <w:abstractNumId w:val="6"/>
  </w:num>
  <w:num w16cid:durableId="456608145" w:numId="10">
    <w:abstractNumId w:val="7"/>
  </w:num>
  <w:num w16cid:durableId="75834470" w:numId="11">
    <w:abstractNumId w:val="9"/>
  </w:num>
  <w:num w16cid:durableId="1124497384" w:numId="12">
    <w:abstractNumId w:val="12"/>
  </w:num>
  <w:num w16cid:durableId="442194333" w:numId="13">
    <w:abstractNumId w:val="11"/>
  </w:num>
  <w:num w:numId="1000">
    <w:abstractNumId w:val="990"/>
  </w:num>
  <w:num w:numId="1001">
    <w:abstractNumId w:val="993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65421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B0BD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0509B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EE03BB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  <w:sz w:val="32"/>
    </w:rPr>
  </w:style>
  <w:style w:styleId="Heading5" w:type="paragraph">
    <w:name w:val="heading 5"/>
    <w:basedOn w:val="Normal"/>
    <w:next w:val="BodyText"/>
    <w:uiPriority w:val="9"/>
    <w:unhideWhenUsed/>
    <w:qFormat/>
    <w:rsid w:val="0074662F"/>
    <w:pPr>
      <w:keepNext/>
      <w:keepLines/>
      <w:pageBreakBefore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0"/>
    </w:rPr>
  </w:style>
  <w:style w:styleId="Heading6" w:type="paragraph">
    <w:name w:val="heading 6"/>
    <w:basedOn w:val="Normal"/>
    <w:next w:val="BodyText"/>
    <w:uiPriority w:val="9"/>
    <w:unhideWhenUsed/>
    <w:qFormat/>
    <w:rsid w:val="000E7DF5"/>
    <w:pPr>
      <w:keepNext/>
      <w:keepLines/>
      <w:spacing w:after="0" w:before="200"/>
      <w:jc w:val="center"/>
      <w:outlineLvl w:val="5"/>
    </w:pPr>
    <w:rPr>
      <w:rFonts w:ascii="Times New Roman" w:cstheme="majorBidi" w:eastAsiaTheme="majorEastAsia" w:hAnsi="Times New Roman"/>
      <w:color w:themeColor="text1" w:val="000000"/>
      <w:sz w:val="28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B122AB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F5E62"/>
    <w:pPr>
      <w:spacing w:after="180" w:before="180" w:line="480" w:lineRule="auto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AD10C6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921965"/>
    <w:rPr>
      <w:rFonts w:ascii="Times New Roman" w:hAnsi="Times New Roman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5E62"/>
    <w:rPr>
      <w:rFonts w:ascii="Times New Roman" w:hAnsi="Times New Roman"/>
    </w:rPr>
  </w:style>
  <w:style w:styleId="LineNumber" w:type="character">
    <w:name w:val="line number"/>
    <w:basedOn w:val="DefaultParagraphFont"/>
    <w:semiHidden/>
    <w:unhideWhenUsed/>
    <w:rsid w:val="008E79E4"/>
  </w:style>
  <w:style w:styleId="TableGrid" w:type="table">
    <w:name w:val="Table Grid"/>
    <w:aliases w:val="Table Paper"/>
    <w:basedOn w:val="TableNormal"/>
    <w:rsid w:val="00C91552"/>
    <w:pPr>
      <w:spacing w:after="0"/>
    </w:pPr>
    <w:rPr>
      <w:rFonts w:ascii="Times New Roman" w:hAnsi="Times New Roma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A" w:type="table">
    <w:name w:val="TableA"/>
    <w:basedOn w:val="TableGrid"/>
    <w:uiPriority w:val="99"/>
    <w:rsid w:val="00FD1322"/>
    <w:rPr>
      <w:rFonts w:cs="Times New Roman (Body CS)"/>
    </w:rPr>
    <w:tblPr/>
  </w:style>
  <w:style w:styleId="PlainTable1" w:type="table">
    <w:name w:val="Plain Table 1"/>
    <w:basedOn w:val="TableNormal"/>
    <w:rsid w:val="00921965"/>
    <w:pPr>
      <w:spacing w:after="0"/>
    </w:pPr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GridTable2" w:type="table">
    <w:name w:val="Grid Table 2"/>
    <w:basedOn w:val="TableNormal"/>
    <w:rsid w:val="00921965"/>
    <w:pPr>
      <w:spacing w:after="0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mailto:kelly.clint@uqam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kelly.clint@uqam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83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word_style_template</vt:lpstr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Material: Sex difference in the predictability of mobility</dc:title>
  <dc:creator>Clint D. Kelly1,✉</dc:creator>
  <cp:keywords/>
  <dcterms:created xsi:type="dcterms:W3CDTF">2024-10-11T17:54:24Z</dcterms:created>
  <dcterms:modified xsi:type="dcterms:W3CDTF">2024-10-11T17:54:24Z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Bibliography.bib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csl">
    <vt:lpwstr>behavioral-ecology.csl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