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C505A2">
      <w:pPr>
        <w:pStyle w:val="Title"/>
      </w:pPr>
      <w:r>
        <w:t>Passive plasticity and a sex difference in the predictability of mobility</w:t>
      </w:r>
    </w:p>
    <w:p w14:paraId="4D4DBCA9" w14:textId="77777777" w:rsidR="00426584" w:rsidRPr="009A5E10" w:rsidRDefault="00C505A2">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C505A2">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C505A2">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C505A2">
      <w:r>
        <w:br w:type="page"/>
      </w:r>
    </w:p>
    <w:p w14:paraId="678EE583" w14:textId="77777777" w:rsidR="00426584" w:rsidRDefault="00C505A2">
      <w:pPr>
        <w:pStyle w:val="Heading1"/>
      </w:pPr>
      <w:bookmarkStart w:id="0" w:name="abstract"/>
      <w:r>
        <w:lastRenderedPageBreak/>
        <w:t>Abstract</w:t>
      </w:r>
    </w:p>
    <w:p w14:paraId="7007C1EE" w14:textId="0ED0907D" w:rsidR="00426584" w:rsidRDefault="005F607E">
      <w:pPr>
        <w:pStyle w:val="FirstParagraph"/>
      </w:pPr>
      <w:proofErr w:type="spellStart"/>
      <w:ins w:id="1" w:author="Kelly, Clint Dale" w:date="2024-10-11T10:15:00Z" w16du:dateUtc="2024-10-11T14:15:00Z">
        <w:r>
          <w:t>Behavioural</w:t>
        </w:r>
        <w:proofErr w:type="spellEnd"/>
        <w:r>
          <w:t xml:space="preserve"> predictability (i.e. </w:t>
        </w:r>
      </w:ins>
      <w:del w:id="2" w:author="Kelly, Clint Dale" w:date="2024-10-11T10:15:00Z" w16du:dateUtc="2024-10-11T14:15:00Z">
        <w:r w:rsidR="00C505A2" w:rsidDel="005F607E">
          <w:delText>R</w:delText>
        </w:r>
      </w:del>
      <w:ins w:id="3" w:author="Kelly, Clint Dale" w:date="2024-10-11T10:15:00Z" w16du:dateUtc="2024-10-11T14:15:00Z">
        <w:r>
          <w:t>r</w:t>
        </w:r>
      </w:ins>
      <w:r w:rsidR="00C505A2">
        <w:t>esidual within-individual variation</w:t>
      </w:r>
      <w:ins w:id="4" w:author="Kelly, Clint Dale" w:date="2024-10-11T10:15:00Z" w16du:dateUtc="2024-10-11T14:15:00Z">
        <w:r>
          <w:t>)</w:t>
        </w:r>
      </w:ins>
      <w:ins w:id="5" w:author="Kelly, Clint Dale" w:date="2024-10-11T10:12:00Z" w16du:dateUtc="2024-10-11T14:12:00Z">
        <w:r w:rsidR="00546B4F">
          <w:t xml:space="preserve"> </w:t>
        </w:r>
      </w:ins>
      <w:del w:id="6" w:author="Kelly, Clint Dale" w:date="2024-10-11T10:12:00Z" w16du:dateUtc="2024-10-11T14:12:00Z">
        <w:r w:rsidR="00C505A2" w:rsidDel="00546B4F">
          <w:delText xml:space="preserve"> </w:delText>
        </w:r>
      </w:del>
      <w:del w:id="7" w:author="Kelly, Clint Dale" w:date="2024-10-11T10:16:00Z" w16du:dateUtc="2024-10-11T14:16:00Z">
        <w:r w:rsidR="00C505A2" w:rsidDel="005F607E">
          <w:delText xml:space="preserve">(i.e. behavioural predictability) </w:delText>
        </w:r>
      </w:del>
      <w:r w:rsidR="00C505A2">
        <w:t xml:space="preserve">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sidR="00C505A2">
        <w:rPr>
          <w:i/>
          <w:iCs/>
        </w:rPr>
        <w:t>Deinacrida rugosa</w:t>
      </w:r>
      <w:r w:rsidR="00C505A2">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14:paraId="74A7C483" w14:textId="77777777" w:rsidR="00426584" w:rsidRDefault="00C505A2">
      <w:r>
        <w:br w:type="page"/>
      </w:r>
    </w:p>
    <w:p w14:paraId="632ADBEF" w14:textId="77777777" w:rsidR="00426584" w:rsidRDefault="00C505A2">
      <w:pPr>
        <w:pStyle w:val="Heading1"/>
      </w:pPr>
      <w:bookmarkStart w:id="8" w:name="introduction"/>
      <w:bookmarkEnd w:id="0"/>
      <w:r>
        <w:lastRenderedPageBreak/>
        <w:t>Introduction</w:t>
      </w:r>
    </w:p>
    <w:p w14:paraId="7E4453E2" w14:textId="50F43EC2" w:rsidR="00426584" w:rsidRDefault="00C505A2">
      <w:pPr>
        <w:pStyle w:val="FirstParagraph"/>
      </w:pPr>
      <w:r>
        <w:t>Individuals can differ in their behavioural predictability, defined as residual intra-individual variation (i.e. rIIV), after controlling for individual variation in behavioural type (i.e. average behaviour) and behavioural plasticity (i.e. </w:t>
      </w:r>
      <w:ins w:id="9" w:author="Kelly, Clint Dale" w:date="2024-10-11T10:27:00Z" w16du:dateUtc="2024-10-11T14:27:00Z">
        <w:r w:rsidR="005A2E29">
          <w:t>context-depe</w:t>
        </w:r>
      </w:ins>
      <w:ins w:id="10" w:author="Kelly, Clint Dale" w:date="2024-10-11T10:28:00Z" w16du:dateUtc="2024-10-11T14:28:00Z">
        <w:r w:rsidR="005A2E29">
          <w:t xml:space="preserve">ndent </w:t>
        </w:r>
      </w:ins>
      <w:r>
        <w:t xml:space="preserve">within-individual variation) (Stamps et al. 2012; Biro and Adriaenssens 2013; Cleasby et al. 2015; Westneat et al. 2015). Unpredictable individuals exhibit high variability around their behavioural type and reaction norm slope whereas predictable individuals do not (i.e. exhibit little residual variance). Within-individual residual variance can arise from </w:t>
      </w:r>
      <w:del w:id="11" w:author="Kelly, Clint Dale" w:date="2024-10-07T11:02:00Z" w16du:dateUtc="2024-10-07T15:02:00Z">
        <w:r w:rsidDel="00904951">
          <w:delText>a variety of</w:delText>
        </w:r>
      </w:del>
      <w:ins w:id="12" w:author="Kelly, Clint Dale" w:date="2024-10-07T11:02:00Z" w16du:dateUtc="2024-10-07T15:02:00Z">
        <w:r w:rsidR="00904951">
          <w:t>various</w:t>
        </w:r>
      </w:ins>
      <w:r>
        <w:t xml:space="preserve">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w:t>
      </w:r>
      <w:proofErr w:type="spellStart"/>
      <w:r>
        <w:t>rIIV</w:t>
      </w:r>
      <w:proofErr w:type="spellEnd"/>
      <w:r>
        <w:t xml:space="preserve">) could be selected if </w:t>
      </w:r>
      <w:ins w:id="13" w:author="Kelly, Clint Dale" w:date="2024-10-07T11:04:00Z" w16du:dateUtc="2024-10-07T15:04:00Z">
        <w:r w:rsidR="00F920A0">
          <w:t>consistent behaviour infl</w:t>
        </w:r>
      </w:ins>
      <w:ins w:id="14" w:author="Kelly, Clint Dale" w:date="2024-10-07T11:05:00Z" w16du:dateUtc="2024-10-07T15:05:00Z">
        <w:r w:rsidR="00F920A0">
          <w:t>uenc</w:t>
        </w:r>
      </w:ins>
      <w:ins w:id="15" w:author="Kelly, Clint Dale" w:date="2024-10-07T11:04:00Z" w16du:dateUtc="2024-10-07T15:04:00Z">
        <w:r w:rsidR="00F920A0">
          <w:t>es the future response</w:t>
        </w:r>
      </w:ins>
      <w:ins w:id="16" w:author="Kelly, Clint Dale" w:date="2024-10-07T11:05:00Z" w16du:dateUtc="2024-10-07T15:05:00Z">
        <w:r w:rsidR="00F920A0">
          <w:t>s</w:t>
        </w:r>
      </w:ins>
      <w:ins w:id="17" w:author="Kelly, Clint Dale" w:date="2024-10-07T11:04:00Z" w16du:dateUtc="2024-10-07T15:04:00Z">
        <w:r w:rsidR="00F920A0">
          <w:t xml:space="preserve"> of competitors </w:t>
        </w:r>
      </w:ins>
      <w:ins w:id="18" w:author="Kelly, Clint Dale" w:date="2024-10-07T11:06:00Z" w16du:dateUtc="2024-10-07T15:06:00Z">
        <w:r w:rsidR="00F920A0">
          <w:t xml:space="preserve">in such a way </w:t>
        </w:r>
      </w:ins>
      <w:ins w:id="19" w:author="Kelly, Clint Dale" w:date="2024-10-07T11:04:00Z" w16du:dateUtc="2024-10-07T15:04:00Z">
        <w:r w:rsidR="00F920A0">
          <w:t>that confe</w:t>
        </w:r>
      </w:ins>
      <w:ins w:id="20" w:author="Kelly, Clint Dale" w:date="2024-10-07T11:05:00Z" w16du:dateUtc="2024-10-07T15:05:00Z">
        <w:r w:rsidR="00F920A0">
          <w:t>r</w:t>
        </w:r>
      </w:ins>
      <w:ins w:id="21" w:author="Kelly, Clint Dale" w:date="2024-10-07T11:06:00Z" w16du:dateUtc="2024-10-07T15:06:00Z">
        <w:r w:rsidR="00F920A0">
          <w:t>s</w:t>
        </w:r>
      </w:ins>
      <w:ins w:id="22" w:author="Kelly, Clint Dale" w:date="2024-10-07T11:05:00Z" w16du:dateUtc="2024-10-07T15:05:00Z">
        <w:r w:rsidR="00F920A0">
          <w:t xml:space="preserve"> advantages </w:t>
        </w:r>
      </w:ins>
      <w:ins w:id="23" w:author="Kelly, Clint Dale" w:date="2024-10-07T11:06:00Z" w16du:dateUtc="2024-10-07T15:06:00Z">
        <w:r w:rsidR="00F920A0">
          <w:t>upon</w:t>
        </w:r>
      </w:ins>
      <w:ins w:id="24" w:author="Kelly, Clint Dale" w:date="2024-10-07T11:05:00Z" w16du:dateUtc="2024-10-07T15:05:00Z">
        <w:r w:rsidR="00F920A0">
          <w:t xml:space="preserve"> the focal individual [@</w:t>
        </w:r>
        <w:r w:rsidR="00F920A0" w:rsidRPr="00F920A0">
          <w:t>dall2004</w:t>
        </w:r>
        <w:r w:rsidR="00F920A0">
          <w:t>]</w:t>
        </w:r>
      </w:ins>
      <w:ins w:id="25" w:author="Kelly, Clint Dale" w:date="2024-10-07T11:40:00Z" w16du:dateUtc="2024-10-07T15:40:00Z">
        <w:r w:rsidR="00922EC8">
          <w:t xml:space="preserve"> or if consistency indicates quality </w:t>
        </w:r>
      </w:ins>
      <w:ins w:id="26" w:author="Kelly, Clint Dale" w:date="2024-10-07T11:41:00Z" w16du:dateUtc="2024-10-07T15:41:00Z">
        <w:r w:rsidR="00922EC8">
          <w:t>that can be used in mate choice by the choosy sex</w:t>
        </w:r>
      </w:ins>
      <w:del w:id="27" w:author="Kelly, Clint Dale" w:date="2024-10-07T10:56:00Z" w16du:dateUtc="2024-10-07T14:56:00Z">
        <w:r w:rsidDel="00D15C66">
          <w:delText xml:space="preserve">it improves </w:delText>
        </w:r>
      </w:del>
      <w:del w:id="28" w:author="Kelly, Clint Dale" w:date="2024-10-04T15:17:00Z" w16du:dateUtc="2024-10-04T19:17:00Z">
        <w:r w:rsidDel="00212847">
          <w:delText xml:space="preserve">success in agonistic encounters (e.g. Johnstone 2001) or </w:delText>
        </w:r>
      </w:del>
      <w:del w:id="29" w:author="Kelly, Clint Dale" w:date="2024-10-07T11:41:00Z" w16du:dateUtc="2024-10-07T15:41:00Z">
        <w:r w:rsidDel="00922EC8">
          <w:delText>mating competition</w:delText>
        </w:r>
      </w:del>
      <w:r>
        <w:t xml:space="preserve"> (</w:t>
      </w:r>
      <w:proofErr w:type="spellStart"/>
      <w:r>
        <w:t>Schuett</w:t>
      </w:r>
      <w:proofErr w:type="spellEnd"/>
      <w:r>
        <w:t xml:space="preserve"> et al. 2010)</w:t>
      </w:r>
      <w:ins w:id="30" w:author="Kelly, Clint Dale" w:date="2024-10-08T08:55:00Z" w16du:dateUtc="2024-10-08T12:55:00Z">
        <w:r w:rsidR="000B18F0">
          <w:t xml:space="preserve">. </w:t>
        </w:r>
      </w:ins>
      <w:del w:id="31" w:author="Kelly, Clint Dale" w:date="2024-10-08T08:55:00Z" w16du:dateUtc="2024-10-08T12:55:00Z">
        <w:r w:rsidDel="000B18F0">
          <w:delText xml:space="preserve"> </w:delText>
        </w:r>
        <w:commentRangeStart w:id="32"/>
        <w:r w:rsidDel="000B18F0">
          <w:delText>or if d</w:delText>
        </w:r>
      </w:del>
      <w:ins w:id="33" w:author="Kelly, Clint Dale" w:date="2024-10-08T08:55:00Z" w16du:dateUtc="2024-10-08T12:55:00Z">
        <w:r w:rsidR="000B18F0">
          <w:t>D</w:t>
        </w:r>
      </w:ins>
      <w:r>
        <w:t xml:space="preserve">ecreased </w:t>
      </w:r>
      <w:proofErr w:type="spellStart"/>
      <w:r>
        <w:t>behavioural</w:t>
      </w:r>
      <w:proofErr w:type="spellEnd"/>
      <w:r>
        <w:t xml:space="preserve"> predictability (i.e. larger </w:t>
      </w:r>
      <w:proofErr w:type="spellStart"/>
      <w:r>
        <w:t>rIIV</w:t>
      </w:r>
      <w:proofErr w:type="spellEnd"/>
      <w:r>
        <w:t>)</w:t>
      </w:r>
      <w:ins w:id="34" w:author="Kelly, Clint Dale" w:date="2024-10-08T08:55:00Z" w16du:dateUtc="2024-10-08T12:55:00Z">
        <w:r w:rsidR="000B18F0">
          <w:t xml:space="preserve"> is also possible if </w:t>
        </w:r>
      </w:ins>
      <w:ins w:id="35" w:author="Kelly, Clint Dale" w:date="2024-10-08T08:56:00Z" w16du:dateUtc="2024-10-08T12:56:00Z">
        <w:r w:rsidR="000B18F0">
          <w:t xml:space="preserve">individual variation </w:t>
        </w:r>
      </w:ins>
      <w:ins w:id="36" w:author="Kelly, Clint Dale" w:date="2024-10-08T08:57:00Z" w16du:dateUtc="2024-10-08T12:57:00Z">
        <w:r w:rsidR="000B18F0">
          <w:t>is a product of</w:t>
        </w:r>
      </w:ins>
      <w:ins w:id="37" w:author="Kelly, Clint Dale" w:date="2024-10-08T08:56:00Z" w16du:dateUtc="2024-10-08T12:56:00Z">
        <w:r w:rsidR="000B18F0">
          <w:t xml:space="preserve"> individual stat</w:t>
        </w:r>
      </w:ins>
      <w:ins w:id="38" w:author="Kelly, Clint Dale" w:date="2024-10-08T08:57:00Z" w16du:dateUtc="2024-10-08T12:57:00Z">
        <w:r w:rsidR="000B18F0">
          <w:t xml:space="preserve">e or </w:t>
        </w:r>
        <w:r w:rsidR="000B18F0" w:rsidRPr="000B18F0">
          <w:t>environment</w:t>
        </w:r>
      </w:ins>
      <w:ins w:id="39" w:author="Kelly, Clint Dale" w:date="2024-10-11T10:29:00Z" w16du:dateUtc="2024-10-11T14:29:00Z">
        <w:r w:rsidR="00D66588">
          <w:t>al</w:t>
        </w:r>
      </w:ins>
      <w:ins w:id="40" w:author="Kelly, Clint Dale" w:date="2024-10-08T08:57:00Z" w16du:dateUtc="2024-10-08T12:57:00Z">
        <w:r w:rsidR="000B18F0">
          <w:t xml:space="preserve"> differences </w:t>
        </w:r>
      </w:ins>
      <w:del w:id="41" w:author="Kelly, Clint Dale" w:date="2024-10-08T08:55:00Z" w16du:dateUtc="2024-10-08T12:55:00Z">
        <w:r w:rsidDel="000B18F0">
          <w:delText xml:space="preserve"> </w:delText>
        </w:r>
      </w:del>
      <w:del w:id="42" w:author="Kelly, Clint Dale" w:date="2024-10-08T08:57:00Z" w16du:dateUtc="2024-10-08T12:57:00Z">
        <w:r w:rsidDel="000B18F0">
          <w:delText xml:space="preserve">improves survival </w:delText>
        </w:r>
      </w:del>
      <w:r>
        <w:t>(Briffa et al. 2013; Chang et al. 2017; Horváth et al. 2019</w:t>
      </w:r>
      <w:del w:id="43" w:author="Kelly, Clint Dale" w:date="2024-10-08T08:51:00Z" w16du:dateUtc="2024-10-08T12:51:00Z">
        <w:r w:rsidDel="00750ACE">
          <w:delText>; see also Brand et al. 2023</w:delText>
        </w:r>
      </w:del>
      <w:r>
        <w:t>).</w:t>
      </w:r>
      <w:commentRangeEnd w:id="32"/>
      <w:r w:rsidR="00304949">
        <w:rPr>
          <w:rStyle w:val="CommentReference"/>
          <w:rFonts w:asciiTheme="minorHAnsi" w:hAnsiTheme="minorHAnsi"/>
        </w:rPr>
        <w:commentReference w:id="32"/>
      </w:r>
    </w:p>
    <w:p w14:paraId="1E53132B" w14:textId="6884A8BB" w:rsidR="00426584" w:rsidRDefault="00C505A2">
      <w:pPr>
        <w:pStyle w:val="BodyText"/>
      </w:pPr>
      <w:r>
        <w:t xml:space="preserve">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w:t>
      </w:r>
      <w:del w:id="44" w:author="Kelly, Clint Dale" w:date="2024-10-08T08:57:00Z" w16du:dateUtc="2024-10-08T12:57:00Z">
        <w:r w:rsidDel="000B18F0">
          <w:delText>food location is not known by the forager</w:delText>
        </w:r>
      </w:del>
      <w:ins w:id="45" w:author="Kelly, Clint Dale" w:date="2024-10-08T08:57:00Z" w16du:dateUtc="2024-10-08T12:57:00Z">
        <w:r w:rsidR="000B18F0">
          <w:t xml:space="preserve">the forager does not know </w:t>
        </w:r>
        <w:r w:rsidR="00BC1953">
          <w:t xml:space="preserve">the </w:t>
        </w:r>
        <w:r w:rsidR="000B18F0">
          <w:t>food location</w:t>
        </w:r>
      </w:ins>
      <w:r>
        <w:t xml:space="preserve"> when foraging commences or if daily travel distance </w:t>
      </w:r>
      <w:del w:id="46" w:author="Kelly, Clint Dale" w:date="2024-10-08T08:58:00Z" w16du:dateUtc="2024-10-08T12:58:00Z">
        <w:r w:rsidDel="00BC1953">
          <w:delText>is dependent</w:delText>
        </w:r>
      </w:del>
      <w:ins w:id="47" w:author="Kelly, Clint Dale" w:date="2024-10-08T08:58:00Z" w16du:dateUtc="2024-10-08T12:58:00Z">
        <w:r w:rsidR="00BC1953">
          <w:t>depends</w:t>
        </w:r>
      </w:ins>
      <w:r>
        <w:t xml:space="preserve"> on the number and type of predators encountered, which can be stochastic (Westneat et al. 2015). Therefore, individual animal phenotypes might contain </w:t>
      </w:r>
      <w:r>
        <w:lastRenderedPageBreak/>
        <w:t>some stochastic variation that would be present as heterogeneous residual phenotypic variance if left unaccounted (Westneat et al. 2015).</w:t>
      </w:r>
    </w:p>
    <w:p w14:paraId="74131B14" w14:textId="77777777" w:rsidR="00426584" w:rsidRDefault="00C505A2">
      <w:pPr>
        <w:pStyle w:val="BodyText"/>
      </w:pPr>
      <w:r>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Kelly and Gwynne 2023a).</w:t>
      </w:r>
    </w:p>
    <w:p w14:paraId="1C02D2E4" w14:textId="77777777" w:rsidR="00426584" w:rsidRDefault="00C505A2">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w:t>
      </w:r>
      <w:r>
        <w:lastRenderedPageBreak/>
        <w:t>mobility is dictated by females being stochastically dispersed throughout the environment. I will also correlate individual average mating success with behavioural (un)predictability to test if being more or less predictable confers a mating advantage.</w:t>
      </w:r>
    </w:p>
    <w:p w14:paraId="33613BA3" w14:textId="77777777" w:rsidR="00426584" w:rsidRDefault="00C505A2">
      <w:pPr>
        <w:pStyle w:val="Heading1"/>
      </w:pPr>
      <w:bookmarkStart w:id="48" w:name="methods"/>
      <w:bookmarkEnd w:id="8"/>
      <w:r>
        <w:t>Methods</w:t>
      </w:r>
    </w:p>
    <w:p w14:paraId="3439A8A5" w14:textId="77777777" w:rsidR="00426584" w:rsidRDefault="00C505A2">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0B8BAD32" w:rsidR="00426584" w:rsidRDefault="00C505A2">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t>
      </w:r>
      <w:proofErr w:type="spellStart"/>
      <w:r>
        <w:t>weta</w:t>
      </w:r>
      <w:proofErr w:type="spellEnd"/>
      <w:r>
        <w:t xml:space="preserve"> </w:t>
      </w:r>
      <w:ins w:id="49" w:author="Kelly, Clint Dale" w:date="2024-10-08T09:56:00Z" w16du:dateUtc="2024-10-08T13:56:00Z">
        <w:r w:rsidR="003047E7">
          <w:t xml:space="preserve">once </w:t>
        </w:r>
      </w:ins>
      <w:r>
        <w:t>each day</w:t>
      </w:r>
      <w:ins w:id="50" w:author="Kelly, Clint Dale" w:date="2024-10-08T09:56:00Z" w16du:dateUtc="2024-10-08T13:56:00Z">
        <w:r w:rsidR="003047E7">
          <w:t xml:space="preserve"> </w:t>
        </w:r>
      </w:ins>
      <w:ins w:id="51" w:author="Kelly, Clint Dale" w:date="2024-10-08T09:58:00Z" w16du:dateUtc="2024-10-08T13:58:00Z">
        <w:r w:rsidR="003047E7">
          <w:t>while in their diurnal refuge</w:t>
        </w:r>
      </w:ins>
      <w:r>
        <w:t>.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w:t>
      </w:r>
      <w:ins w:id="52" w:author="Kelly, Clint Dale" w:date="2024-10-08T10:03:00Z" w16du:dateUtc="2024-10-08T14:03:00Z">
        <w:r w:rsidR="006C37F0">
          <w:t>, on average,</w:t>
        </w:r>
      </w:ins>
      <w:r>
        <w:t xml:space="preserve"> for females and 5.76 ± 0.45 (n = 16) times for males.</w:t>
      </w:r>
      <w:ins w:id="53" w:author="Kelly, Clint Dale" w:date="2024-10-08T10:03:00Z" w16du:dateUtc="2024-10-08T14:03:00Z">
        <w:r w:rsidR="006C37F0">
          <w:t xml:space="preserve"> </w:t>
        </w:r>
        <w:r w:rsidR="006C37F0">
          <w:t xml:space="preserve">Females </w:t>
        </w:r>
      </w:ins>
      <w:ins w:id="54" w:author="Kelly, Clint Dale" w:date="2024-10-08T10:05:00Z" w16du:dateUtc="2024-10-08T14:05:00Z">
        <w:r w:rsidR="001C44BE">
          <w:t xml:space="preserve">and males </w:t>
        </w:r>
      </w:ins>
      <w:ins w:id="55" w:author="Kelly, Clint Dale" w:date="2024-10-08T10:03:00Z" w16du:dateUtc="2024-10-08T14:03:00Z">
        <w:r w:rsidR="006C37F0">
          <w:t>were observed a total of</w:t>
        </w:r>
      </w:ins>
      <w:ins w:id="56" w:author="Kelly, Clint Dale" w:date="2024-10-08T10:04:00Z" w16du:dateUtc="2024-10-08T14:04:00Z">
        <w:r w:rsidR="006C37F0">
          <w:t xml:space="preserve"> </w:t>
        </w:r>
      </w:ins>
      <w:ins w:id="57" w:author="Kelly, Clint Dale" w:date="2024-10-08T10:03:00Z" w16du:dateUtc="2024-10-08T14:03:00Z">
        <w:r w:rsidR="006C37F0">
          <w:t>127</w:t>
        </w:r>
      </w:ins>
      <w:ins w:id="58" w:author="Kelly, Clint Dale" w:date="2024-10-08T10:05:00Z" w16du:dateUtc="2024-10-08T14:05:00Z">
        <w:r w:rsidR="001C44BE">
          <w:t xml:space="preserve"> and 108 </w:t>
        </w:r>
      </w:ins>
      <w:ins w:id="59" w:author="Kelly, Clint Dale" w:date="2024-10-08T10:03:00Z" w16du:dateUtc="2024-10-08T14:03:00Z">
        <w:r w:rsidR="006C37F0">
          <w:t>times</w:t>
        </w:r>
      </w:ins>
      <w:ins w:id="60" w:author="Kelly, Clint Dale" w:date="2024-10-08T10:06:00Z" w16du:dateUtc="2024-10-08T14:06:00Z">
        <w:r w:rsidR="001C44BE">
          <w:t xml:space="preserve">, respectively </w:t>
        </w:r>
      </w:ins>
      <w:ins w:id="61" w:author="Kelly, Clint Dale" w:date="2024-10-08T10:03:00Z" w16du:dateUtc="2024-10-08T14:03:00Z">
        <w:r w:rsidR="006C37F0">
          <w:t>(</w:t>
        </w:r>
        <w:r w:rsidR="006C37F0" w:rsidRPr="00226B86">
          <w:t xml:space="preserve">see electronic supplementary material, </w:t>
        </w:r>
        <w:r w:rsidR="006C37F0">
          <w:t>figure</w:t>
        </w:r>
        <w:r w:rsidR="006C37F0" w:rsidRPr="00226B86">
          <w:t xml:space="preserve"> S1</w:t>
        </w:r>
        <w:r w:rsidR="006C37F0">
          <w:t>).</w:t>
        </w:r>
      </w:ins>
    </w:p>
    <w:p w14:paraId="71C2C96F" w14:textId="77777777" w:rsidR="00426584" w:rsidRDefault="00C505A2">
      <w:pPr>
        <w:pStyle w:val="BodyText"/>
      </w:pPr>
      <w:r>
        <w:lastRenderedPageBreak/>
        <w:t>I calculated mating success by dividing the total number of times that an individual was found paired with an opposite-sex conspecific by the total number of times they were located.</w:t>
      </w:r>
    </w:p>
    <w:p w14:paraId="58B6A594" w14:textId="77777777" w:rsidR="00426584" w:rsidRDefault="00C505A2">
      <w:pPr>
        <w:pStyle w:val="Heading3"/>
      </w:pPr>
      <w:bookmarkStart w:id="62" w:name="statistical-analysis"/>
      <w:r>
        <w:t>Statistical analysis</w:t>
      </w:r>
    </w:p>
    <w:p w14:paraId="71FAFB26" w14:textId="77777777" w:rsidR="00426584" w:rsidRDefault="00C505A2">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C505A2">
      <w:pPr>
        <w:pStyle w:val="BodyText"/>
      </w:pPr>
      <w:r>
        <w:t xml:space="preserve">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w:t>
      </w:r>
      <w:r>
        <w:lastRenderedPageBreak/>
        <w:t>iterations, with a warm-up of 6000, and a thinning interval of 4. Model convergence was verified with sufficient mixing of trace plots, with all Rhat values = 1. I report posterior means with 95% credible intervals (CrI), with inference based on CrIs not overlapping zero.</w:t>
      </w:r>
    </w:p>
    <w:p w14:paraId="456B3DDB" w14:textId="77777777" w:rsidR="00426584" w:rsidRDefault="00C505A2">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0DD3F73E" w:rsidR="00426584" w:rsidRDefault="00C505A2">
      <w:pPr>
        <w:pStyle w:val="BodyText"/>
      </w:pPr>
      <w:r>
        <w:t>Data were visualized using the R package</w:t>
      </w:r>
      <w:del w:id="63" w:author="Kelly, Clint Dale" w:date="2024-10-04T10:21:00Z" w16du:dateUtc="2024-10-04T14:21:00Z">
        <w:r w:rsidDel="00EC1049">
          <w:delText>s</w:delText>
        </w:r>
      </w:del>
      <w:r>
        <w:t xml:space="preserve"> </w:t>
      </w:r>
      <w:r>
        <w:rPr>
          <w:i/>
          <w:iCs/>
        </w:rPr>
        <w:t>ggplot2</w:t>
      </w:r>
      <w:r>
        <w:t xml:space="preserve"> (Wickham 2016). </w:t>
      </w:r>
      <w:del w:id="64" w:author="Kelly, Clint Dale" w:date="2024-10-04T10:21:00Z" w16du:dateUtc="2024-10-04T14:21:00Z">
        <w:r w:rsidDel="00EC1049">
          <w:delText>M</w:delText>
        </w:r>
      </w:del>
      <w:ins w:id="65" w:author="Kelly, Clint Dale" w:date="2024-10-04T10:21:00Z" w16du:dateUtc="2024-10-04T14:21:00Z">
        <w:r w:rsidR="00EC1049">
          <w:t>Unless otherwise noted, m</w:t>
        </w:r>
      </w:ins>
      <w:r>
        <w:t>eans are given ± one standard error of the mean (SEM)</w:t>
      </w:r>
      <w:del w:id="66" w:author="Kelly, Clint Dale" w:date="2024-10-04T10:21:00Z" w16du:dateUtc="2024-10-04T14:21:00Z">
        <w:r w:rsidDel="00EC1049">
          <w:delText xml:space="preserve"> unless otherwise noted</w:delText>
        </w:r>
      </w:del>
      <w:r>
        <w:t>.</w:t>
      </w:r>
    </w:p>
    <w:p w14:paraId="727C3CC9" w14:textId="77777777" w:rsidR="00426584" w:rsidRDefault="00C505A2">
      <w:pPr>
        <w:pStyle w:val="Heading1"/>
      </w:pPr>
      <w:bookmarkStart w:id="67" w:name="results"/>
      <w:bookmarkEnd w:id="48"/>
      <w:bookmarkEnd w:id="62"/>
      <w:r>
        <w:t>Results</w:t>
      </w:r>
    </w:p>
    <w:p w14:paraId="2334D352" w14:textId="6F6CE511" w:rsidR="00426584" w:rsidRDefault="00C505A2">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ins w:id="68" w:author="Kelly, Clint Dale" w:date="2024-10-10T11:48:00Z" w16du:dateUtc="2024-10-10T15:48:00Z">
        <w:r w:rsidR="00942A7D">
          <w:t xml:space="preserve"> with sex explaining approximately 8% of the variation i</w:t>
        </w:r>
      </w:ins>
      <w:ins w:id="69" w:author="Kelly, Clint Dale" w:date="2024-10-10T11:49:00Z" w16du:dateUtc="2024-10-10T15:49:00Z">
        <w:r w:rsidR="00942A7D">
          <w:t>n travel distance (see supplemental material)</w:t>
        </w:r>
      </w:ins>
      <w:r>
        <w:t>.</w:t>
      </w:r>
    </w:p>
    <w:p w14:paraId="3C9BC4A2" w14:textId="77777777" w:rsidR="00426584" w:rsidRDefault="00C505A2">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51D7A46A" w:rsidR="00426584" w:rsidRDefault="00C505A2">
      <w:pPr>
        <w:pStyle w:val="BodyText"/>
      </w:pPr>
      <w:r>
        <w:t>Behavioural type was not correlated with predictability (</w:t>
      </w:r>
      <w:r>
        <w:rPr>
          <w:i/>
          <w:iCs/>
        </w:rPr>
        <w:t>r</w:t>
      </w:r>
      <w:r>
        <w:t xml:space="preserve"> = -0.12 [-0.87, 0.78]) nor was </w:t>
      </w:r>
      <w:ins w:id="70" w:author="Kelly, Clint Dale" w:date="2024-10-11T10:02:00Z" w16du:dateUtc="2024-10-11T14:02:00Z">
        <w:r w:rsidR="00841082">
          <w:t xml:space="preserve">mating success </w:t>
        </w:r>
        <w:r w:rsidR="00841082">
          <w:t xml:space="preserve">correlated with </w:t>
        </w:r>
      </w:ins>
      <w:proofErr w:type="spellStart"/>
      <w:r>
        <w:t>behavioural</w:t>
      </w:r>
      <w:proofErr w:type="spellEnd"/>
      <w:r>
        <w:t xml:space="preserve">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w:t>
      </w:r>
      <w:del w:id="71" w:author="Kelly, Clint Dale" w:date="2024-10-11T10:02:00Z" w16du:dateUtc="2024-10-11T14:02:00Z">
        <w:r w:rsidDel="00841082">
          <w:delText xml:space="preserve"> correlated with</w:delText>
        </w:r>
      </w:del>
      <w:r>
        <w:t xml:space="preserve"> </w:t>
      </w:r>
      <w:del w:id="72" w:author="Kelly, Clint Dale" w:date="2024-10-11T10:02:00Z" w16du:dateUtc="2024-10-11T14:02:00Z">
        <w:r w:rsidDel="00841082">
          <w:delText xml:space="preserve">mating success </w:delText>
        </w:r>
      </w:del>
      <w:r>
        <w:t>in either sex.</w:t>
      </w:r>
    </w:p>
    <w:p w14:paraId="4DDD6B08" w14:textId="77777777" w:rsidR="00426584" w:rsidRDefault="00C505A2">
      <w:pPr>
        <w:pStyle w:val="Heading1"/>
      </w:pPr>
      <w:bookmarkStart w:id="73" w:name="discussion"/>
      <w:bookmarkEnd w:id="67"/>
      <w:r>
        <w:t>Discussion</w:t>
      </w:r>
    </w:p>
    <w:p w14:paraId="425FE886" w14:textId="77777777" w:rsidR="00426584" w:rsidRDefault="00C505A2">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6A7C02D7" w:rsidR="00426584" w:rsidRDefault="00C505A2">
      <w:pPr>
        <w:pStyle w:val="BodyText"/>
      </w:pPr>
      <w:r>
        <w:t xml:space="preserve">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quite short (i.e. a few metres). Since sexually receptive females are stochastically distributed across the landscape male distance-to-location should vary across nights</w:t>
      </w:r>
      <w:ins w:id="74" w:author="Kelly, Clint Dale" w:date="2024-10-08T14:39:00Z" w16du:dateUtc="2024-10-08T18:39:00Z">
        <w:r w:rsidR="007E7577">
          <w:t>.</w:t>
        </w:r>
      </w:ins>
      <w:r>
        <w:t xml:space="preserve">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14:paraId="5CDDDF8A" w14:textId="77777777" w:rsidR="00426584" w:rsidRDefault="00C505A2">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 less diurnal than less predictable bears.</w:t>
      </w:r>
    </w:p>
    <w:p w14:paraId="46D5959D" w14:textId="77777777" w:rsidR="00426584" w:rsidRDefault="00C505A2">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C505A2">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C505A2">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(Spiegel et al. 2017), to elucidate if differences between males and females is the general pattern, and if so, identify why.</w:t>
      </w:r>
    </w:p>
    <w:p w14:paraId="187AF742" w14:textId="77777777" w:rsidR="00426584" w:rsidRDefault="00C505A2">
      <w:pPr>
        <w:pStyle w:val="Heading1"/>
      </w:pPr>
      <w:bookmarkStart w:id="75" w:name="declarations"/>
      <w:bookmarkEnd w:id="73"/>
      <w:r>
        <w:t>Declarations</w:t>
      </w:r>
    </w:p>
    <w:p w14:paraId="406C6961" w14:textId="77777777" w:rsidR="00426584" w:rsidRDefault="00C505A2">
      <w:pPr>
        <w:pStyle w:val="FirstParagraph"/>
      </w:pPr>
      <w:r>
        <w:rPr>
          <w:b/>
          <w:bCs/>
        </w:rPr>
        <w:t>Funding</w:t>
      </w:r>
      <w:r>
        <w:t xml:space="preserve"> Natural Sciences and Engineering Research Council of Canada (NSERC).</w:t>
      </w:r>
    </w:p>
    <w:p w14:paraId="1A13963E" w14:textId="77777777" w:rsidR="00426584" w:rsidRDefault="00C505A2">
      <w:pPr>
        <w:pStyle w:val="BodyText"/>
      </w:pPr>
      <w:r>
        <w:rPr>
          <w:b/>
          <w:bCs/>
        </w:rPr>
        <w:lastRenderedPageBreak/>
        <w:t>Availability of data and materials</w:t>
      </w:r>
      <w:r>
        <w:t xml:space="preserve"> Data are available on Open Science Framework: </w:t>
      </w:r>
      <w:bookmarkStart w:id="76" w:name="OLE_LINK18"/>
      <w:bookmarkStart w:id="77" w:name="OLE_LINK19"/>
      <w:r>
        <w:t>https://doi.org/10.17605/OSF.IO/T9CEH</w:t>
      </w:r>
      <w:bookmarkEnd w:id="76"/>
      <w:bookmarkEnd w:id="77"/>
    </w:p>
    <w:p w14:paraId="7C77807E" w14:textId="77777777" w:rsidR="00426584" w:rsidRDefault="00C505A2">
      <w:pPr>
        <w:pStyle w:val="Heading1"/>
      </w:pPr>
      <w:bookmarkStart w:id="78" w:name="references"/>
      <w:bookmarkEnd w:id="75"/>
      <w:r>
        <w:t>References</w:t>
      </w:r>
    </w:p>
    <w:p w14:paraId="0F8955EA" w14:textId="77777777" w:rsidR="00426584" w:rsidRDefault="00C505A2">
      <w:pPr>
        <w:pStyle w:val="Bibliography"/>
      </w:pPr>
      <w:bookmarkStart w:id="79" w:name="ref-biro2013"/>
      <w:bookmarkStart w:id="80" w:name="refs"/>
      <w:r>
        <w:t>Biro P, Adriaenssens B. 2013. Predictability as a personality trait: Consistent differences in intraindividual behavioral variation. Am Nat. 182(5):621–629.</w:t>
      </w:r>
    </w:p>
    <w:p w14:paraId="22B1BA51" w14:textId="77777777" w:rsidR="00426584" w:rsidRDefault="00C505A2">
      <w:pPr>
        <w:pStyle w:val="Bibliography"/>
      </w:pPr>
      <w:bookmarkStart w:id="81" w:name="ref-brand2023"/>
      <w:bookmarkEnd w:id="79"/>
      <w:r>
        <w:t>Brand J, Henry J, Melo G, Wlodkowic D, Wong B, Martin J. 2023. Sex differences in the predictability of risk-taking behavior. Behav Ecol. 34(1):108–116.</w:t>
      </w:r>
    </w:p>
    <w:p w14:paraId="174573C5" w14:textId="77777777" w:rsidR="00426584" w:rsidRDefault="00C505A2">
      <w:pPr>
        <w:pStyle w:val="Bibliography"/>
      </w:pPr>
      <w:bookmarkStart w:id="82" w:name="ref-briffa2013"/>
      <w:bookmarkEnd w:id="81"/>
      <w:r>
        <w:t>Briffa M, Bridger D, Biro PA. 2013. How does temperature affect behaviour? Multilevel analysis of plasticity, personality and predictability in hermit crabs. Anim Behav. 86(1):47–54.</w:t>
      </w:r>
    </w:p>
    <w:p w14:paraId="5E7704D6" w14:textId="77777777" w:rsidR="00426584" w:rsidRDefault="00C505A2">
      <w:pPr>
        <w:pStyle w:val="Bibliography"/>
      </w:pPr>
      <w:bookmarkStart w:id="83" w:name="ref-burkner2017"/>
      <w:bookmarkEnd w:id="82"/>
      <w:r>
        <w:t>Bürkner P-C. 2017. brms: An R package for Bayesian multilevel models using Stan. Journal of Statistical Software. 80(1):4308.</w:t>
      </w:r>
    </w:p>
    <w:p w14:paraId="17016F65" w14:textId="77777777" w:rsidR="00426584" w:rsidRDefault="00C505A2">
      <w:pPr>
        <w:pStyle w:val="Bibliography"/>
      </w:pPr>
      <w:bookmarkStart w:id="84" w:name="ref-chang2017a"/>
      <w:bookmarkEnd w:id="83"/>
      <w:r>
        <w:t>Chang C, Teo H, Norma-Rashid Y, Li D. 2017. Predator personality and prey behavioural predictability jointly determine foraging performance. Sci Rep. 7:40734.</w:t>
      </w:r>
    </w:p>
    <w:p w14:paraId="2D1B2D84" w14:textId="77777777" w:rsidR="00426584" w:rsidRDefault="00C505A2">
      <w:pPr>
        <w:pStyle w:val="Bibliography"/>
      </w:pPr>
      <w:bookmarkStart w:id="85" w:name="ref-cleasby2015"/>
      <w:bookmarkEnd w:id="84"/>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C505A2">
      <w:pPr>
        <w:pStyle w:val="Bibliography"/>
      </w:pPr>
      <w:bookmarkStart w:id="86" w:name="ref-hertel2020"/>
      <w:bookmarkEnd w:id="85"/>
      <w:r>
        <w:t>Hertel A, Niemelä P, Dingemanse N, Mueller T. 2020. A guide for studying among-individual behavioral variation from movement data in the wild. Mov Ecol. 8:30.</w:t>
      </w:r>
    </w:p>
    <w:p w14:paraId="57959C4B" w14:textId="77777777" w:rsidR="00426584" w:rsidRDefault="00C505A2">
      <w:pPr>
        <w:pStyle w:val="Bibliography"/>
      </w:pPr>
      <w:bookmarkStart w:id="87" w:name="ref-hertel2021"/>
      <w:bookmarkEnd w:id="86"/>
      <w:r>
        <w:t>Hertel A, Royauté R, Zedrosser A, Mueller T. 2021. Biologging reveals individual variation in behavioural predictability in the wild. J Anim Ecol. 90(3):723–737.</w:t>
      </w:r>
    </w:p>
    <w:p w14:paraId="2199CD34" w14:textId="77777777" w:rsidR="00426584" w:rsidRDefault="00C505A2">
      <w:pPr>
        <w:pStyle w:val="Bibliography"/>
      </w:pPr>
      <w:bookmarkStart w:id="88" w:name="ref-horvath2019"/>
      <w:bookmarkEnd w:id="87"/>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C505A2">
      <w:pPr>
        <w:pStyle w:val="Bibliography"/>
      </w:pPr>
      <w:bookmarkStart w:id="89" w:name="ref-johnstone2001"/>
      <w:bookmarkEnd w:id="88"/>
      <w:r>
        <w:t>Johnstone R. 2001. Eavesdropping and animal conflict. Proc Natl Acad Sci U S A. 98(16):9177–9180.</w:t>
      </w:r>
    </w:p>
    <w:p w14:paraId="5F21CE63" w14:textId="77777777" w:rsidR="00426584" w:rsidRDefault="00C505A2">
      <w:pPr>
        <w:pStyle w:val="Bibliography"/>
      </w:pPr>
      <w:bookmarkStart w:id="90" w:name="ref-kelly2006b"/>
      <w:bookmarkEnd w:id="89"/>
      <w:r>
        <w:t>Kelly CD. 2006. The relationship between resource control, association with females and male weapon size in a male dominance insect. Ethology. 112(4):362–369.</w:t>
      </w:r>
    </w:p>
    <w:p w14:paraId="2EF78668" w14:textId="77777777" w:rsidR="00426584" w:rsidRDefault="00C505A2">
      <w:pPr>
        <w:pStyle w:val="Bibliography"/>
      </w:pPr>
      <w:bookmarkStart w:id="91" w:name="ref-kelly2010a"/>
      <w:bookmarkEnd w:id="90"/>
      <w:r>
        <w:t>Kelly CD, Bussiere LF, Gwynne DT. 2010. Pairing and insemination patterns in a giant weta (</w:t>
      </w:r>
      <w:r>
        <w:rPr>
          <w:i/>
          <w:iCs/>
        </w:rPr>
        <w:t>Deinacrida rugosa</w:t>
      </w:r>
      <w:r>
        <w:t>: Orthoptera; Anostostomatidae). J Ethol. 28(3):483–489.</w:t>
      </w:r>
    </w:p>
    <w:p w14:paraId="68EC0079" w14:textId="77777777" w:rsidR="00426584" w:rsidRDefault="00C505A2">
      <w:pPr>
        <w:pStyle w:val="Bibliography"/>
      </w:pPr>
      <w:bookmarkStart w:id="92" w:name="ref-kelly2008a"/>
      <w:bookmarkEnd w:id="91"/>
      <w:r>
        <w:t>Kelly CD, Bussière LF, Gwynne DT. 2008. Sexual selection for male mobility in a giant insect with female-biased size dimorphism. Am Nat. 172(3):417–423.</w:t>
      </w:r>
    </w:p>
    <w:p w14:paraId="40DB00BE" w14:textId="77777777" w:rsidR="00426584" w:rsidRDefault="00C505A2">
      <w:pPr>
        <w:pStyle w:val="Bibliography"/>
      </w:pPr>
      <w:bookmarkStart w:id="93" w:name="ref-kelly2016"/>
      <w:bookmarkEnd w:id="92"/>
      <w:r>
        <w:lastRenderedPageBreak/>
        <w:t>Kelly CD, Gwynne DT. 2016. The effect of condition on mate searching speed and copulation frequency in the Cook Strait giant weta. Behav Ecol Sociobiol. 70(8):1403–1409.</w:t>
      </w:r>
    </w:p>
    <w:p w14:paraId="2CB84A3F" w14:textId="77777777" w:rsidR="00426584" w:rsidRDefault="00C505A2">
      <w:pPr>
        <w:pStyle w:val="Bibliography"/>
      </w:pPr>
      <w:bookmarkStart w:id="94" w:name="ref-kelly2017"/>
      <w:bookmarkEnd w:id="93"/>
      <w:r>
        <w:t>Kelly CD, Gwynne DT. 2017. Do male Cook Strait giant weta prudently allocate sperm. J Insect Behav. 30(3):308–317.</w:t>
      </w:r>
    </w:p>
    <w:p w14:paraId="350528D5" w14:textId="77777777" w:rsidR="00426584" w:rsidRDefault="00C505A2">
      <w:pPr>
        <w:pStyle w:val="Bibliography"/>
      </w:pPr>
      <w:bookmarkStart w:id="95" w:name="ref-kelly2023"/>
      <w:bookmarkEnd w:id="94"/>
      <w:r>
        <w:t>Kelly CD, Gwynne DT. 2023a. Effect of body condition on mobility and mating success in a wild population of the scramble polygynous Cook Strait giant weta. Behav Ecol Sociobiol. 77:5.</w:t>
      </w:r>
    </w:p>
    <w:p w14:paraId="21FC33F8" w14:textId="77777777" w:rsidR="00426584" w:rsidRDefault="00C505A2">
      <w:pPr>
        <w:pStyle w:val="Bibliography"/>
      </w:pPr>
      <w:bookmarkStart w:id="96" w:name="ref-kelly2023c"/>
      <w:bookmarkEnd w:id="95"/>
      <w:r>
        <w:t>Kelly CD, Gwynne DT. 2023b. Mating assortment and the strength of sexual selection in a polyandrous population of cook strait giant weta. Behav Ecol. 34:506–513.</w:t>
      </w:r>
    </w:p>
    <w:p w14:paraId="63627A99" w14:textId="77777777" w:rsidR="00426584" w:rsidRDefault="00C505A2">
      <w:pPr>
        <w:pStyle w:val="Bibliography"/>
      </w:pPr>
      <w:bookmarkStart w:id="97" w:name="ref-mcintyre2001"/>
      <w:bookmarkEnd w:id="96"/>
      <w:r>
        <w:t>McIntyre M. 2001. The ecology of some large weta species in New Zealand. In: Field LH, editor. The biology of wetas, king crickets and their allies. Wallingford, UK: CABI Publishing. p. 225–242.</w:t>
      </w:r>
    </w:p>
    <w:p w14:paraId="540620B0" w14:textId="77777777" w:rsidR="00426584" w:rsidRDefault="00C505A2">
      <w:pPr>
        <w:pStyle w:val="Bibliography"/>
      </w:pPr>
      <w:bookmarkStart w:id="98" w:name="ref-mclean2020"/>
      <w:bookmarkEnd w:id="97"/>
      <w:r>
        <w:t>McLean S, Morrell L. 2020. Consistency in the strength of laterality in male, but not female, guppies across different behavioural contexts. Biol Lett. 16(5):20190870.</w:t>
      </w:r>
    </w:p>
    <w:p w14:paraId="0A20E95D" w14:textId="77777777" w:rsidR="00426584" w:rsidRDefault="00C505A2">
      <w:pPr>
        <w:pStyle w:val="Bibliography"/>
      </w:pPr>
      <w:bookmarkStart w:id="99" w:name="ref-peterson2021"/>
      <w:bookmarkEnd w:id="98"/>
      <w:r>
        <w:t>Peterson RA. 2021. Finding optimal normalizing transformations via best normalize. R Journal. 13(1):2312–2327.</w:t>
      </w:r>
    </w:p>
    <w:p w14:paraId="2BA55E11" w14:textId="77777777" w:rsidR="00426584" w:rsidRDefault="00C505A2">
      <w:pPr>
        <w:pStyle w:val="Bibliography"/>
      </w:pPr>
      <w:bookmarkStart w:id="100" w:name="ref-r2013"/>
      <w:bookmarkEnd w:id="99"/>
      <w:r>
        <w:t>R Core Team. 2024. R: A language and environment for statistical computing.</w:t>
      </w:r>
    </w:p>
    <w:p w14:paraId="02167E62" w14:textId="77777777" w:rsidR="00426584" w:rsidRDefault="00C505A2">
      <w:pPr>
        <w:pStyle w:val="Bibliography"/>
      </w:pPr>
      <w:bookmarkStart w:id="101" w:name="ref-scheiner2006"/>
      <w:bookmarkEnd w:id="100"/>
      <w:r>
        <w:t>Scheiner SM. 2006. Genotype-environment interactions and evolution. In: Fox C, Wolf J, editors. Evolutionary genetics: Concepts and case studies. Oxford, UK: Oxford ÉUniversity Press. p. 326–338.</w:t>
      </w:r>
    </w:p>
    <w:p w14:paraId="33FB1EAA" w14:textId="77777777" w:rsidR="00426584" w:rsidRDefault="00C505A2">
      <w:pPr>
        <w:pStyle w:val="Bibliography"/>
      </w:pPr>
      <w:bookmarkStart w:id="102" w:name="ref-schuett2010"/>
      <w:bookmarkEnd w:id="101"/>
      <w:r>
        <w:t>Schuett W, Tregenza T, Dall S. 2010. Sexual selection and animal personality. Biol Rev Camb Philos Soc. 85(2):217–246.</w:t>
      </w:r>
    </w:p>
    <w:p w14:paraId="43D427EB" w14:textId="77777777" w:rsidR="00426584" w:rsidRDefault="00C505A2">
      <w:pPr>
        <w:pStyle w:val="Bibliography"/>
      </w:pPr>
      <w:bookmarkStart w:id="103" w:name="ref-spiegel2017"/>
      <w:bookmarkEnd w:id="102"/>
      <w:r>
        <w:t>Spiegel O, Leu S, Bull C, Sih A. 2017. What’s your move? Movement as a link between personality and spatial dynamics in animal populations. Ecol Lett. 20(1):3–18.</w:t>
      </w:r>
    </w:p>
    <w:p w14:paraId="3D0C29C7" w14:textId="77777777" w:rsidR="00426584" w:rsidRDefault="00C505A2">
      <w:pPr>
        <w:pStyle w:val="Bibliography"/>
      </w:pPr>
      <w:bookmarkStart w:id="104" w:name="ref-stamps2012"/>
      <w:bookmarkEnd w:id="103"/>
      <w:r>
        <w:t>Stamps JA, Briffa M, Biro PA. 2012. Unpredictable animals: Individual differences in intraindividual variability (IIV). Anim Behav. 83(6):1325–1334.</w:t>
      </w:r>
    </w:p>
    <w:p w14:paraId="16AB951B" w14:textId="77777777" w:rsidR="00426584" w:rsidRDefault="00C505A2">
      <w:pPr>
        <w:pStyle w:val="Bibliography"/>
      </w:pPr>
      <w:bookmarkStart w:id="105" w:name="ref-watts2012"/>
      <w:bookmarkEnd w:id="104"/>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C505A2">
      <w:pPr>
        <w:pStyle w:val="Bibliography"/>
      </w:pPr>
      <w:bookmarkStart w:id="106" w:name="ref-watts2011"/>
      <w:bookmarkEnd w:id="105"/>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C505A2">
      <w:pPr>
        <w:pStyle w:val="Bibliography"/>
      </w:pPr>
      <w:bookmarkStart w:id="107" w:name="ref-westneat2015"/>
      <w:bookmarkEnd w:id="106"/>
      <w:r>
        <w:t>Westneat D, Wright J, Dingemanse N. 2015. The biology hidden inside residual within-individual phenotypic variation. Biological Reviews. 90(3):729–743.</w:t>
      </w:r>
    </w:p>
    <w:p w14:paraId="36BC3C03" w14:textId="77777777" w:rsidR="00426584" w:rsidRDefault="00C505A2">
      <w:pPr>
        <w:pStyle w:val="Bibliography"/>
      </w:pPr>
      <w:bookmarkStart w:id="108" w:name="ref-white2017"/>
      <w:bookmarkEnd w:id="107"/>
      <w:r>
        <w:lastRenderedPageBreak/>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C505A2">
      <w:pPr>
        <w:pStyle w:val="Bibliography"/>
      </w:pPr>
      <w:bookmarkStart w:id="109" w:name="ref-white2017a"/>
      <w:bookmarkEnd w:id="108"/>
      <w:r>
        <w:t>White S, Briffa M. 2017. How do anthropogenic contaminants (ACs) affect behaviour? Multi-level analysis of the effects of copper on boldness in hermit crabs. Oecologia. 183(2):391–400.</w:t>
      </w:r>
    </w:p>
    <w:p w14:paraId="1D0E2386" w14:textId="77777777" w:rsidR="00426584" w:rsidRDefault="00C505A2">
      <w:pPr>
        <w:pStyle w:val="Bibliography"/>
      </w:pPr>
      <w:bookmarkStart w:id="110" w:name="ref-wickham2016"/>
      <w:bookmarkEnd w:id="109"/>
      <w:r>
        <w:t>Wickham H. 2016. ggplot2: Elegant graphics for data analysis. Springer.</w:t>
      </w:r>
    </w:p>
    <w:bookmarkEnd w:id="80"/>
    <w:bookmarkEnd w:id="110"/>
    <w:p w14:paraId="42759CD4" w14:textId="77777777" w:rsidR="00426584" w:rsidRDefault="00C505A2">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C505A2">
            <w:pPr>
              <w:pStyle w:val="ImageCaption"/>
              <w:spacing w:before="200"/>
            </w:pPr>
            <w:bookmarkStart w:id="111"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111"/>
          </w:tbl>
          <w:p w14:paraId="25603517" w14:textId="77777777" w:rsidR="006528D2" w:rsidRDefault="006528D2">
            <w:pPr>
              <w:spacing w:after="0"/>
            </w:pPr>
          </w:p>
        </w:tc>
      </w:tr>
    </w:tbl>
    <w:p w14:paraId="45D2EA42" w14:textId="77777777" w:rsidR="00426584" w:rsidRDefault="00C505A2">
      <w:r>
        <w:br w:type="page"/>
      </w:r>
    </w:p>
    <w:p w14:paraId="4771C669" w14:textId="77777777" w:rsidR="00426584" w:rsidRDefault="00C505A2">
      <w:pPr>
        <w:pStyle w:val="Heading1"/>
      </w:pPr>
      <w:bookmarkStart w:id="112" w:name="figure"/>
      <w:bookmarkEnd w:id="78"/>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C505A2">
            <w:pPr>
              <w:pStyle w:val="Compact"/>
              <w:jc w:val="center"/>
            </w:pPr>
            <w:bookmarkStart w:id="113"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12"/>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C505A2">
            <w:pPr>
              <w:pStyle w:val="ImageCaption"/>
              <w:spacing w:before="200"/>
            </w:pPr>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tc>
        <w:bookmarkEnd w:id="113"/>
      </w:tr>
      <w:bookmarkEnd w:id="112"/>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Kelly, Clint Dale" w:date="2024-10-07T17:15:00Z" w:initials="CK">
    <w:p w14:paraId="043F7ED0" w14:textId="77777777" w:rsidR="00304949" w:rsidRDefault="00304949" w:rsidP="00304949">
      <w:r>
        <w:rPr>
          <w:rStyle w:val="CommentReference"/>
        </w:rPr>
        <w:annotationRef/>
      </w:r>
      <w:r>
        <w:rPr>
          <w:color w:val="000000"/>
          <w:sz w:val="20"/>
          <w:szCs w:val="20"/>
        </w:rPr>
        <w:t>check this</w:t>
      </w:r>
    </w:p>
    <w:p w14:paraId="37A760AC" w14:textId="77777777" w:rsidR="00304949" w:rsidRDefault="00304949" w:rsidP="0030494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76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44D2BF" w16cex:dateUtc="2024-10-07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760AC" w16cid:durableId="6F44D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E5E01" w14:textId="77777777" w:rsidR="00C8165C" w:rsidRDefault="00C8165C">
      <w:pPr>
        <w:spacing w:after="0"/>
      </w:pPr>
      <w:r>
        <w:separator/>
      </w:r>
    </w:p>
  </w:endnote>
  <w:endnote w:type="continuationSeparator" w:id="0">
    <w:p w14:paraId="496D8170" w14:textId="77777777" w:rsidR="00C8165C" w:rsidRDefault="00C816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D5E32" w14:textId="77777777" w:rsidR="00C8165C" w:rsidRDefault="00C8165C">
      <w:r>
        <w:separator/>
      </w:r>
    </w:p>
  </w:footnote>
  <w:footnote w:type="continuationSeparator" w:id="0">
    <w:p w14:paraId="48C8A40F" w14:textId="77777777" w:rsidR="00C8165C" w:rsidRDefault="00C81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Clint Dale">
    <w15:presenceInfo w15:providerId="AD" w15:userId="S::kelly.clint@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0B18F0"/>
    <w:rsid w:val="00135661"/>
    <w:rsid w:val="00155981"/>
    <w:rsid w:val="00183557"/>
    <w:rsid w:val="001C44BE"/>
    <w:rsid w:val="00212847"/>
    <w:rsid w:val="00226B86"/>
    <w:rsid w:val="00277EA0"/>
    <w:rsid w:val="003047E7"/>
    <w:rsid w:val="00304949"/>
    <w:rsid w:val="003211AF"/>
    <w:rsid w:val="00426584"/>
    <w:rsid w:val="00497138"/>
    <w:rsid w:val="004A0050"/>
    <w:rsid w:val="00546B4F"/>
    <w:rsid w:val="00557B0B"/>
    <w:rsid w:val="005A2E29"/>
    <w:rsid w:val="005A679C"/>
    <w:rsid w:val="005D2D20"/>
    <w:rsid w:val="005D3480"/>
    <w:rsid w:val="005F607E"/>
    <w:rsid w:val="00611FE5"/>
    <w:rsid w:val="0062169F"/>
    <w:rsid w:val="00631577"/>
    <w:rsid w:val="006528D2"/>
    <w:rsid w:val="006C37F0"/>
    <w:rsid w:val="007312F2"/>
    <w:rsid w:val="00750ACE"/>
    <w:rsid w:val="007D4001"/>
    <w:rsid w:val="007E7577"/>
    <w:rsid w:val="007F1ED0"/>
    <w:rsid w:val="008046F2"/>
    <w:rsid w:val="00841082"/>
    <w:rsid w:val="00883EC9"/>
    <w:rsid w:val="00904951"/>
    <w:rsid w:val="009179EF"/>
    <w:rsid w:val="0092228B"/>
    <w:rsid w:val="00922EC8"/>
    <w:rsid w:val="00942A7D"/>
    <w:rsid w:val="00946762"/>
    <w:rsid w:val="009A3A0E"/>
    <w:rsid w:val="009A5E10"/>
    <w:rsid w:val="009F7B88"/>
    <w:rsid w:val="00A30FF0"/>
    <w:rsid w:val="00A402DB"/>
    <w:rsid w:val="00A5565B"/>
    <w:rsid w:val="00AA12FA"/>
    <w:rsid w:val="00B06414"/>
    <w:rsid w:val="00B33F0D"/>
    <w:rsid w:val="00BC1953"/>
    <w:rsid w:val="00C505A2"/>
    <w:rsid w:val="00C8165C"/>
    <w:rsid w:val="00D15C66"/>
    <w:rsid w:val="00D60F9E"/>
    <w:rsid w:val="00D64C31"/>
    <w:rsid w:val="00D66588"/>
    <w:rsid w:val="00D8083B"/>
    <w:rsid w:val="00DA1786"/>
    <w:rsid w:val="00DA58A6"/>
    <w:rsid w:val="00DC7428"/>
    <w:rsid w:val="00E57C5B"/>
    <w:rsid w:val="00E64905"/>
    <w:rsid w:val="00E926B8"/>
    <w:rsid w:val="00EC1049"/>
    <w:rsid w:val="00F20BED"/>
    <w:rsid w:val="00F36AEC"/>
    <w:rsid w:val="00F920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 w:type="paragraph" w:styleId="NormalWeb">
    <w:name w:val="Normal (Web)"/>
    <w:basedOn w:val="Normal"/>
    <w:semiHidden/>
    <w:unhideWhenUsed/>
    <w:rsid w:val="00212847"/>
    <w:rPr>
      <w:rFonts w:ascii="Times New Roman" w:hAnsi="Times New Roman" w:cs="Times New Roman"/>
    </w:rPr>
  </w:style>
  <w:style w:type="character" w:styleId="CommentReference">
    <w:name w:val="annotation reference"/>
    <w:basedOn w:val="DefaultParagraphFont"/>
    <w:semiHidden/>
    <w:unhideWhenUsed/>
    <w:rsid w:val="00304949"/>
    <w:rPr>
      <w:sz w:val="16"/>
      <w:szCs w:val="16"/>
    </w:rPr>
  </w:style>
  <w:style w:type="paragraph" w:styleId="CommentText">
    <w:name w:val="annotation text"/>
    <w:basedOn w:val="Normal"/>
    <w:link w:val="CommentTextChar"/>
    <w:semiHidden/>
    <w:unhideWhenUsed/>
    <w:rsid w:val="00304949"/>
    <w:rPr>
      <w:sz w:val="20"/>
      <w:szCs w:val="20"/>
    </w:rPr>
  </w:style>
  <w:style w:type="character" w:customStyle="1" w:styleId="CommentTextChar">
    <w:name w:val="Comment Text Char"/>
    <w:basedOn w:val="DefaultParagraphFont"/>
    <w:link w:val="CommentText"/>
    <w:semiHidden/>
    <w:rsid w:val="00304949"/>
    <w:rPr>
      <w:sz w:val="20"/>
      <w:szCs w:val="20"/>
    </w:rPr>
  </w:style>
  <w:style w:type="paragraph" w:styleId="CommentSubject">
    <w:name w:val="annotation subject"/>
    <w:basedOn w:val="CommentText"/>
    <w:next w:val="CommentText"/>
    <w:link w:val="CommentSubjectChar"/>
    <w:semiHidden/>
    <w:unhideWhenUsed/>
    <w:rsid w:val="00304949"/>
    <w:rPr>
      <w:b/>
      <w:bCs/>
    </w:rPr>
  </w:style>
  <w:style w:type="character" w:customStyle="1" w:styleId="CommentSubjectChar">
    <w:name w:val="Comment Subject Char"/>
    <w:basedOn w:val="CommentTextChar"/>
    <w:link w:val="CommentSubject"/>
    <w:semiHidden/>
    <w:rsid w:val="003049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58750">
      <w:bodyDiv w:val="1"/>
      <w:marLeft w:val="0"/>
      <w:marRight w:val="0"/>
      <w:marTop w:val="0"/>
      <w:marBottom w:val="0"/>
      <w:divBdr>
        <w:top w:val="none" w:sz="0" w:space="0" w:color="auto"/>
        <w:left w:val="none" w:sz="0" w:space="0" w:color="auto"/>
        <w:bottom w:val="none" w:sz="0" w:space="0" w:color="auto"/>
        <w:right w:val="none" w:sz="0" w:space="0" w:color="auto"/>
      </w:divBdr>
      <w:divsChild>
        <w:div w:id="1945307485">
          <w:marLeft w:val="0"/>
          <w:marRight w:val="0"/>
          <w:marTop w:val="0"/>
          <w:marBottom w:val="0"/>
          <w:divBdr>
            <w:top w:val="none" w:sz="0" w:space="0" w:color="auto"/>
            <w:left w:val="none" w:sz="0" w:space="0" w:color="auto"/>
            <w:bottom w:val="none" w:sz="0" w:space="0" w:color="auto"/>
            <w:right w:val="none" w:sz="0" w:space="0" w:color="auto"/>
          </w:divBdr>
          <w:divsChild>
            <w:div w:id="984428971">
              <w:marLeft w:val="0"/>
              <w:marRight w:val="0"/>
              <w:marTop w:val="0"/>
              <w:marBottom w:val="0"/>
              <w:divBdr>
                <w:top w:val="none" w:sz="0" w:space="0" w:color="auto"/>
                <w:left w:val="none" w:sz="0" w:space="0" w:color="auto"/>
                <w:bottom w:val="none" w:sz="0" w:space="0" w:color="auto"/>
                <w:right w:val="none" w:sz="0" w:space="0" w:color="auto"/>
              </w:divBdr>
              <w:divsChild>
                <w:div w:id="1197503588">
                  <w:marLeft w:val="0"/>
                  <w:marRight w:val="0"/>
                  <w:marTop w:val="0"/>
                  <w:marBottom w:val="0"/>
                  <w:divBdr>
                    <w:top w:val="none" w:sz="0" w:space="0" w:color="auto"/>
                    <w:left w:val="none" w:sz="0" w:space="0" w:color="auto"/>
                    <w:bottom w:val="none" w:sz="0" w:space="0" w:color="auto"/>
                    <w:right w:val="none" w:sz="0" w:space="0" w:color="auto"/>
                  </w:divBdr>
                  <w:divsChild>
                    <w:div w:id="846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5568">
      <w:bodyDiv w:val="1"/>
      <w:marLeft w:val="0"/>
      <w:marRight w:val="0"/>
      <w:marTop w:val="0"/>
      <w:marBottom w:val="0"/>
      <w:divBdr>
        <w:top w:val="none" w:sz="0" w:space="0" w:color="auto"/>
        <w:left w:val="none" w:sz="0" w:space="0" w:color="auto"/>
        <w:bottom w:val="none" w:sz="0" w:space="0" w:color="auto"/>
        <w:right w:val="none" w:sz="0" w:space="0" w:color="auto"/>
      </w:divBdr>
      <w:divsChild>
        <w:div w:id="1003897783">
          <w:marLeft w:val="0"/>
          <w:marRight w:val="0"/>
          <w:marTop w:val="0"/>
          <w:marBottom w:val="0"/>
          <w:divBdr>
            <w:top w:val="none" w:sz="0" w:space="0" w:color="auto"/>
            <w:left w:val="none" w:sz="0" w:space="0" w:color="auto"/>
            <w:bottom w:val="none" w:sz="0" w:space="0" w:color="auto"/>
            <w:right w:val="none" w:sz="0" w:space="0" w:color="auto"/>
          </w:divBdr>
          <w:divsChild>
            <w:div w:id="443309281">
              <w:marLeft w:val="0"/>
              <w:marRight w:val="0"/>
              <w:marTop w:val="0"/>
              <w:marBottom w:val="0"/>
              <w:divBdr>
                <w:top w:val="none" w:sz="0" w:space="0" w:color="auto"/>
                <w:left w:val="none" w:sz="0" w:space="0" w:color="auto"/>
                <w:bottom w:val="none" w:sz="0" w:space="0" w:color="auto"/>
                <w:right w:val="none" w:sz="0" w:space="0" w:color="auto"/>
              </w:divBdr>
              <w:divsChild>
                <w:div w:id="472215657">
                  <w:marLeft w:val="0"/>
                  <w:marRight w:val="0"/>
                  <w:marTop w:val="0"/>
                  <w:marBottom w:val="0"/>
                  <w:divBdr>
                    <w:top w:val="none" w:sz="0" w:space="0" w:color="auto"/>
                    <w:left w:val="none" w:sz="0" w:space="0" w:color="auto"/>
                    <w:bottom w:val="none" w:sz="0" w:space="0" w:color="auto"/>
                    <w:right w:val="none" w:sz="0" w:space="0" w:color="auto"/>
                  </w:divBdr>
                  <w:divsChild>
                    <w:div w:id="1682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lly.clint@uqam.ca"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15</Pages>
  <Words>3580</Words>
  <Characters>20233</Characters>
  <Application>Microsoft Office Word</Application>
  <DocSecurity>0</DocSecurity>
  <Lines>342</Lines>
  <Paragraphs>72</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68</cp:revision>
  <dcterms:created xsi:type="dcterms:W3CDTF">2024-08-08T14:01:00Z</dcterms:created>
  <dcterms:modified xsi:type="dcterms:W3CDTF">2024-10-11T14:30:00Z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