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Passive</w:t>
      </w:r>
      <w:r>
        <w:t xml:space="preserve"> </w:t>
      </w:r>
      <w:r>
        <w:t xml:space="preserve">plasticity</w:t>
      </w:r>
      <w:r>
        <w:t xml:space="preserve"> </w:t>
      </w:r>
      <w:r>
        <w:t xml:space="preserve">and</w:t>
      </w:r>
      <w:r>
        <w:t xml:space="preserve"> </w:t>
      </w:r>
      <w:r>
        <w:t xml:space="preserve">a</w:t>
      </w:r>
      <w:r>
        <w:t xml:space="preserve"> </w:t>
      </w:r>
      <w:r>
        <w:t xml:space="preserve">sex</w:t>
      </w:r>
      <w:r>
        <w:t xml:space="preserve"> </w:t>
      </w:r>
      <w:r>
        <w:t xml:space="preserve">difference</w:t>
      </w:r>
      <w:r>
        <w:t xml:space="preserve"> </w:t>
      </w:r>
      <w:r>
        <w:t xml:space="preserve">in</w:t>
      </w:r>
      <w:r>
        <w:t xml:space="preserve"> </w:t>
      </w:r>
      <w:r>
        <w:t xml:space="preserve">the</w:t>
      </w:r>
      <w:r>
        <w:t xml:space="preserve"> </w:t>
      </w:r>
      <w:r>
        <w:t xml:space="preserve">predictability</w:t>
      </w:r>
      <w:r>
        <w:t xml:space="preserve"> </w:t>
      </w:r>
      <w:r>
        <w:t xml:space="preserve">of</w:t>
      </w:r>
      <w:r>
        <w:t xml:space="preserve"> </w:t>
      </w:r>
      <w:r>
        <w:t xml:space="preserve">mobility</w:t>
      </w:r>
    </w:p>
    <w:p>
      <w:pPr>
        <w:pStyle w:val="Author"/>
      </w:pPr>
      <w:r>
        <w:t xml:space="preserve">Clint</w:t>
      </w:r>
      <w:r>
        <w:t xml:space="preserve"> </w:t>
      </w:r>
      <w:r>
        <w:t xml:space="preserve">D.</w:t>
      </w:r>
      <w:r>
        <w:t xml:space="preserve"> </w:t>
      </w:r>
      <w:r>
        <w:t xml:space="preserve">Kelly</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Département des Sciences biologiques, Université du Québec à Montréal, Montréal,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Clint D. Kelly &lt;kelly.clint@uqam.ca&gt;</w:t>
        </w:r>
      </w:hyperlink>
    </w:p>
    <w:p>
      <w:r>
        <w:br w:type="page"/>
      </w:r>
    </w:p>
    <w:bookmarkStart w:id="21" w:name="abstract"/>
    <w:p>
      <w:pPr>
        <w:pStyle w:val="Heading1"/>
      </w:pPr>
      <w:r>
        <w:t xml:space="preserve">Abstract</w:t>
      </w:r>
    </w:p>
    <w:p>
      <w:pPr>
        <w:pStyle w:val="FirstParagraph"/>
      </w:pPr>
      <w:r>
        <w:t xml:space="preserve">Behavioural predictability (i.e. residual within-individual variation)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r>
        <w:br w:type="page"/>
      </w:r>
    </w:p>
    <w:bookmarkEnd w:id="21"/>
    <w:bookmarkStart w:id="22" w:name="introduction"/>
    <w:p>
      <w:pPr>
        <w:pStyle w:val="Heading1"/>
      </w:pPr>
      <w:r>
        <w:t xml:space="preserve">Introduction</w:t>
      </w:r>
    </w:p>
    <w:p>
      <w:pPr>
        <w:pStyle w:val="FirstParagraph"/>
      </w:pPr>
      <w:r>
        <w:t xml:space="preserve">Individuals can differ in their behavioural predictability, defined as residual intra-individual variation (i.e. rIIV), after controlling for individual variation in behavioural type (i.e. average behaviour) and behavioural plasticity (i.e. context-dependent within-individual variation represented as a reaction norm slope)</w:t>
      </w:r>
      <w:r>
        <w:t xml:space="preserve"> </w:t>
      </w:r>
      <w:r>
        <w:t xml:space="preserve">(</w:t>
      </w:r>
      <w:r>
        <w:rPr>
          <w:bCs/>
          <w:b/>
        </w:rPr>
        <w:t xml:space="preserve">cleasby2015?</w:t>
      </w:r>
      <w:r>
        <w:t xml:space="preserve">;</w:t>
      </w:r>
      <w:r>
        <w:t xml:space="preserve"> </w:t>
      </w:r>
      <w:r>
        <w:rPr>
          <w:bCs/>
          <w:b/>
        </w:rPr>
        <w:t xml:space="preserve">westneat2015?</w:t>
      </w:r>
      <w:r>
        <w:t xml:space="preserve">;</w:t>
      </w:r>
      <w:r>
        <w:t xml:space="preserve"> </w:t>
      </w:r>
      <w:r>
        <w:rPr>
          <w:bCs/>
          <w:b/>
        </w:rPr>
        <w:t xml:space="preserve">stamps2012?</w:t>
      </w:r>
      <w:r>
        <w:t xml:space="preserve">;</w:t>
      </w:r>
      <w:r>
        <w:t xml:space="preserve"> </w:t>
      </w:r>
      <w:r>
        <w:rPr>
          <w:bCs/>
          <w:b/>
        </w:rPr>
        <w:t xml:space="preserve">biro2013?</w:t>
      </w:r>
      <w:r>
        <w:t xml:space="preserve">)</w:t>
      </w:r>
      <w:r>
        <w:t xml:space="preserve">. Unpredictable individuals exhibit high variability around their behavioural type and reaction norm slope whereas predictable individuals do not (i.e. exhibit little residual variance). Within-individual residual variance can arise from various non-biological sources including sampling or measurement error and incompletely or inaccurately parameterizing statistical models (i.e. terms are missing from the model that could explain or account for residual heterogeneity)</w:t>
      </w:r>
      <w:r>
        <w:t xml:space="preserve"> </w:t>
      </w:r>
      <w:r>
        <w:t xml:space="preserve">(</w:t>
      </w:r>
      <w:r>
        <w:rPr>
          <w:bCs/>
          <w:b/>
        </w:rPr>
        <w:t xml:space="preserve">westneat2015?</w:t>
      </w:r>
      <w:r>
        <w:t xml:space="preserve">)</w:t>
      </w:r>
      <w:r>
        <w:t xml:space="preserve">. Conversely, greater behavioural predictability (i.e. smaller rIIV) could be selected if consistent behaviour influences the future responses of competitors in such a way that confers advantages upon the focal individual</w:t>
      </w:r>
      <w:r>
        <w:t xml:space="preserve"> </w:t>
      </w:r>
      <w:r>
        <w:t xml:space="preserve">(</w:t>
      </w:r>
      <w:r>
        <w:rPr>
          <w:bCs/>
          <w:b/>
        </w:rPr>
        <w:t xml:space="preserve">dall2004?</w:t>
      </w:r>
      <w:r>
        <w:t xml:space="preserve">)</w:t>
      </w:r>
      <w:r>
        <w:t xml:space="preserve"> </w:t>
      </w:r>
      <w:r>
        <w:t xml:space="preserve">or if consistency indicates quality that can be used in mate choice by the choosy sex</w:t>
      </w:r>
      <w:r>
        <w:t xml:space="preserve"> </w:t>
      </w:r>
      <w:r>
        <w:t xml:space="preserve">(</w:t>
      </w:r>
      <w:r>
        <w:rPr>
          <w:bCs/>
          <w:b/>
        </w:rPr>
        <w:t xml:space="preserve">schuett2010?</w:t>
      </w:r>
      <w:r>
        <w:t xml:space="preserve">)</w:t>
      </w:r>
      <w:r>
        <w:t xml:space="preserve">. Decreased behavioural predictability (i.e. larger rIIV) is also possible if individual variation is a product of individual state or environmental differences</w:t>
      </w:r>
      <w:r>
        <w:t xml:space="preserve"> </w:t>
      </w:r>
      <w:r>
        <w:t xml:space="preserve">(</w:t>
      </w:r>
      <w:r>
        <w:rPr>
          <w:bCs/>
          <w:b/>
        </w:rPr>
        <w:t xml:space="preserve">briffa2013?</w:t>
      </w:r>
      <w:r>
        <w:t xml:space="preserve">;</w:t>
      </w:r>
      <w:r>
        <w:t xml:space="preserve"> </w:t>
      </w:r>
      <w:r>
        <w:rPr>
          <w:bCs/>
          <w:b/>
        </w:rPr>
        <w:t xml:space="preserve">chang2017a?</w:t>
      </w:r>
      <w:r>
        <w:t xml:space="preserve">;</w:t>
      </w:r>
      <w:r>
        <w:t xml:space="preserve"> </w:t>
      </w:r>
      <w:r>
        <w:rPr>
          <w:bCs/>
          <w:b/>
        </w:rPr>
        <w:t xml:space="preserve">horvath2019?</w:t>
      </w:r>
      <w:r>
        <w:t xml:space="preserve">;</w:t>
      </w:r>
      <w:r>
        <w:t xml:space="preserve"> </w:t>
      </w:r>
      <w:r>
        <w:rPr>
          <w:bCs/>
          <w:b/>
        </w:rPr>
        <w:t xml:space="preserve">gangloff2021?</w:t>
      </w:r>
      <w:r>
        <w:t xml:space="preserve">)</w:t>
      </w:r>
      <w:r>
        <w:t xml:space="preserve">.</w:t>
      </w:r>
    </w:p>
    <w:p>
      <w:pPr>
        <w:pStyle w:val="BodyText"/>
      </w:pPr>
      <w:r>
        <w:t xml:space="preserve">Behavioural predictability could also be weakened by non-adaptive processes such as passive plasticity whereby an environmental factor acts directly on the individual and creates non-adaptive phenotypic variation</w:t>
      </w:r>
      <w:r>
        <w:t xml:space="preserve"> </w:t>
      </w:r>
      <w:r>
        <w:t xml:space="preserve">(</w:t>
      </w:r>
      <w:r>
        <w:rPr>
          <w:bCs/>
          <w:b/>
        </w:rPr>
        <w:t xml:space="preserve">scheiner2006?</w:t>
      </w:r>
      <w:r>
        <w:t xml:space="preserve">)</w:t>
      </w:r>
      <w:r>
        <w:t xml:space="preserve">. For example, the time to find food could exhibit unpredictable variance if the forager does not know the food’s location when foraging commences or if daily travel distance depends on the number and type of predators encountered, which can be stochastic</w:t>
      </w:r>
      <w:r>
        <w:t xml:space="preserve"> </w:t>
      </w:r>
      <w:r>
        <w:t xml:space="preserve">(</w:t>
      </w:r>
      <w:r>
        <w:rPr>
          <w:bCs/>
          <w:b/>
        </w:rPr>
        <w:t xml:space="preserve">westneat2015?</w:t>
      </w:r>
      <w:r>
        <w:t xml:space="preserve">)</w:t>
      </w:r>
      <w:r>
        <w:t xml:space="preserve">. Therefore, individual animal phenotypes might contain some stochastic variation that would be present as heterogeneous residual phenotypic variance if left unaccounted</w:t>
      </w:r>
      <w:r>
        <w:t xml:space="preserve"> </w:t>
      </w:r>
      <w:r>
        <w:t xml:space="preserve">(</w:t>
      </w:r>
      <w:r>
        <w:rPr>
          <w:bCs/>
          <w:b/>
        </w:rPr>
        <w:t xml:space="preserve">westneat2015?</w:t>
      </w:r>
      <w:r>
        <w:t xml:space="preserve">)</w:t>
      </w:r>
      <w:r>
        <w:t xml:space="preserve">.</w:t>
      </w:r>
    </w:p>
    <w:p>
      <w:pPr>
        <w:pStyle w:val="BodyText"/>
      </w:pPr>
      <w:r>
        <w:t xml:space="preserve">In this study, I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mobility due to passive behavioural plasticity.</w:t>
      </w:r>
      <w:r>
        <w:t xml:space="preserve"> </w:t>
      </w:r>
      <w:r>
        <w:rPr>
          <w:iCs/>
          <w:i/>
        </w:rPr>
        <w:t xml:space="preserve">Deinacrida rugosa</w:t>
      </w:r>
      <w:r>
        <w:t xml:space="preserve"> </w:t>
      </w:r>
      <w:r>
        <w:t xml:space="preserve">is a sexually size dimorphic nocturnal insect that is of high conservation importance</w:t>
      </w:r>
      <w:r>
        <w:t xml:space="preserve"> </w:t>
      </w:r>
      <w:r>
        <w:t xml:space="preserve">(</w:t>
      </w:r>
      <w:r>
        <w:rPr>
          <w:bCs/>
          <w:b/>
        </w:rPr>
        <w:t xml:space="preserve">mcintyre2001?</w:t>
      </w:r>
      <w:r>
        <w:t xml:space="preserve">;</w:t>
      </w:r>
      <w:r>
        <w:t xml:space="preserve"> </w:t>
      </w:r>
      <w:r>
        <w:rPr>
          <w:bCs/>
          <w:b/>
        </w:rPr>
        <w:t xml:space="preserve">white2017?</w:t>
      </w:r>
      <w:r>
        <w:t xml:space="preserve">)</w:t>
      </w:r>
      <w:r>
        <w:t xml:space="preserve">. It is endemic to New Zealand where it inhabits old pastures, forests, and coastal scrub</w:t>
      </w:r>
      <w:r>
        <w:t xml:space="preserve"> </w:t>
      </w:r>
      <w:r>
        <w:t xml:space="preserve">(</w:t>
      </w:r>
      <w:r>
        <w:rPr>
          <w:bCs/>
          <w:b/>
        </w:rPr>
        <w:t xml:space="preserve">mcintyre2001?</w:t>
      </w:r>
      <w:r>
        <w:t xml:space="preserve">;</w:t>
      </w:r>
      <w:r>
        <w:t xml:space="preserve"> </w:t>
      </w:r>
      <w:r>
        <w:rPr>
          <w:bCs/>
          <w:b/>
        </w:rPr>
        <w:t xml:space="preserve">white2017?</w:t>
      </w:r>
      <w:r>
        <w:t xml:space="preserve">)</w:t>
      </w:r>
      <w:r>
        <w:t xml:space="preserve">. Both sexes seek refuge from predators during the day by hiding under vegetation or other objects on the ground</w:t>
      </w:r>
      <w:r>
        <w:t xml:space="preserve"> </w:t>
      </w:r>
      <w:r>
        <w:t xml:space="preserve">(</w:t>
      </w:r>
      <w:r>
        <w:rPr>
          <w:bCs/>
          <w:b/>
        </w:rPr>
        <w:t xml:space="preserve">mcintyre2001?</w:t>
      </w:r>
      <w:r>
        <w:t xml:space="preserve">)</w:t>
      </w:r>
      <w:r>
        <w:t xml:space="preserve">.</w:t>
      </w:r>
      <w:r>
        <w:t xml:space="preserve"> </w:t>
      </w:r>
      <w:r>
        <w:rPr>
          <w:iCs/>
          <w:i/>
        </w:rPr>
        <w:t xml:space="preserve">Deinacrida rugosa</w:t>
      </w:r>
      <w:r>
        <w:t xml:space="preserve"> </w:t>
      </w:r>
      <w:r>
        <w:t xml:space="preserve">exhibits a scramble competitive mating system in which males search for receptive females as mates at night while females are foraging</w:t>
      </w:r>
      <w:r>
        <w:t xml:space="preserve"> </w:t>
      </w:r>
      <w:r>
        <w:t xml:space="preserve">(</w:t>
      </w:r>
      <w:r>
        <w:rPr>
          <w:bCs/>
          <w:b/>
        </w:rPr>
        <w:t xml:space="preserve">kelly2008a?</w:t>
      </w:r>
      <w:r>
        <w:t xml:space="preserve">;</w:t>
      </w:r>
      <w:r>
        <w:t xml:space="preserve"> </w:t>
      </w:r>
      <w:r>
        <w:rPr>
          <w:bCs/>
          <w:b/>
        </w:rPr>
        <w:t xml:space="preserve">kelly2023?</w:t>
      </w:r>
      <w:r>
        <w:t xml:space="preserve">)</w:t>
      </w:r>
      <w:r>
        <w:t xml:space="preserve">. Males do not defend resources required by sexually receptive females, nor do they guard harems of females, as do other deinacridine weta</w:t>
      </w:r>
      <w:r>
        <w:t xml:space="preserve"> </w:t>
      </w:r>
      <w:r>
        <w:t xml:space="preserve">(</w:t>
      </w:r>
      <w:r>
        <w:rPr>
          <w:bCs/>
          <w:b/>
        </w:rPr>
        <w:t xml:space="preserve">mcintyre2001?</w:t>
      </w:r>
      <w:r>
        <w:t xml:space="preserve">;</w:t>
      </w:r>
      <w:r>
        <w:t xml:space="preserve"> </w:t>
      </w:r>
      <w:r>
        <w:rPr>
          <w:bCs/>
          <w:b/>
        </w:rPr>
        <w:t xml:space="preserve">kelly2006b?</w:t>
      </w:r>
      <w:r>
        <w:t xml:space="preserve">)</w:t>
      </w:r>
      <w:r>
        <w:t xml:space="preserve">.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w:t>
      </w:r>
      <w:r>
        <w:t xml:space="preserve"> </w:t>
      </w:r>
      <w:r>
        <w:t xml:space="preserve">(</w:t>
      </w:r>
      <w:r>
        <w:rPr>
          <w:bCs/>
          <w:b/>
        </w:rPr>
        <w:t xml:space="preserve">mcintyre2001?</w:t>
      </w:r>
      <w:r>
        <w:t xml:space="preserve">;</w:t>
      </w:r>
      <w:r>
        <w:t xml:space="preserve"> </w:t>
      </w:r>
      <w:r>
        <w:rPr>
          <w:bCs/>
          <w:b/>
        </w:rPr>
        <w:t xml:space="preserve">watts2012?</w:t>
      </w:r>
      <w:r>
        <w:t xml:space="preserve">)</w:t>
      </w:r>
      <w:r>
        <w:t xml:space="preserve">. The pair remains together at least until the following night and copulate repeatedly throughout the day</w:t>
      </w:r>
      <w:r>
        <w:t xml:space="preserve"> </w:t>
      </w:r>
      <w:r>
        <w:t xml:space="preserve">(</w:t>
      </w:r>
      <w:r>
        <w:rPr>
          <w:bCs/>
          <w:b/>
        </w:rPr>
        <w:t xml:space="preserve">mcintyre2001?</w:t>
      </w:r>
      <w:r>
        <w:t xml:space="preserve">;</w:t>
      </w:r>
      <w:r>
        <w:t xml:space="preserve"> </w:t>
      </w:r>
      <w:r>
        <w:rPr>
          <w:bCs/>
          <w:b/>
        </w:rPr>
        <w:t xml:space="preserve">kelly2008a?</w:t>
      </w:r>
      <w:r>
        <w:t xml:space="preserve">;</w:t>
      </w:r>
      <w:r>
        <w:t xml:space="preserve"> </w:t>
      </w:r>
      <w:r>
        <w:rPr>
          <w:bCs/>
          <w:b/>
        </w:rPr>
        <w:t xml:space="preserve">kelly2023c?</w:t>
      </w:r>
      <w:r>
        <w:t xml:space="preserve">;</w:t>
      </w:r>
      <w:r>
        <w:t xml:space="preserve"> </w:t>
      </w:r>
      <w:r>
        <w:rPr>
          <w:bCs/>
          <w:b/>
        </w:rPr>
        <w:t xml:space="preserve">kelly2023?</w:t>
      </w:r>
      <w:r>
        <w:t xml:space="preserve">;</w:t>
      </w:r>
      <w:r>
        <w:t xml:space="preserve"> </w:t>
      </w:r>
      <w:r>
        <w:rPr>
          <w:bCs/>
          <w:b/>
        </w:rPr>
        <w:t xml:space="preserve">kelly2017?</w:t>
      </w:r>
      <w:r>
        <w:t xml:space="preserve">;</w:t>
      </w:r>
      <w:r>
        <w:t xml:space="preserve"> </w:t>
      </w:r>
      <w:r>
        <w:rPr>
          <w:bCs/>
          <w:b/>
        </w:rPr>
        <w:t xml:space="preserve">kelly2010a?</w:t>
      </w:r>
      <w:r>
        <w:t xml:space="preserve">)</w:t>
      </w:r>
      <w:r>
        <w:t xml:space="preserve">.</w:t>
      </w:r>
    </w:p>
    <w:p>
      <w:pPr>
        <w:pStyle w:val="BodyText"/>
      </w:pPr>
      <w:r>
        <w:t xml:space="preserve">I use radio telemetry to track the nightly distance travelled (i.e. mobility) by male and female</w:t>
      </w:r>
      <w:r>
        <w:t xml:space="preserve"> </w:t>
      </w:r>
      <w:r>
        <w:rPr>
          <w:iCs/>
          <w:i/>
        </w:rPr>
        <w:t xml:space="preserve">D. rugosa</w:t>
      </w:r>
      <w:r>
        <w:t xml:space="preserve"> </w:t>
      </w:r>
      <w:r>
        <w:t xml:space="preserve">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also correlate individual average mating success with behavioural (un)predictability to test if being more or less predictable confers a mating advantage.</w:t>
      </w:r>
    </w:p>
    <w:bookmarkEnd w:id="22"/>
    <w:bookmarkStart w:id="24" w:name="methods"/>
    <w:p>
      <w:pPr>
        <w:pStyle w:val="Heading1"/>
      </w:pPr>
      <w:r>
        <w:t xml:space="preserve">Methods</w:t>
      </w:r>
    </w:p>
    <w:p>
      <w:pPr>
        <w:pStyle w:val="FirstParagraph"/>
      </w:pPr>
      <w:r>
        <w:t xml:space="preserve">This field study was conducted 5-18 March 2019 in an abandoned and regenerating pasture on the southern side of Te Pākeka/Maud Island, New Zealand (41°02′S, 173°54′E), a 309-ha scientific reserve free of alien predators (e.g., rodents Mus and Rattus spp. and stoats Mustela erminea)</w:t>
      </w:r>
      <w:r>
        <w:t xml:space="preserve"> </w:t>
      </w:r>
      <w:r>
        <w:t xml:space="preserve">(see</w:t>
      </w:r>
      <w:r>
        <w:t xml:space="preserve"> </w:t>
      </w:r>
      <w:r>
        <w:rPr>
          <w:bCs/>
          <w:b/>
        </w:rPr>
        <w:t xml:space="preserve">kelly2023c?</w:t>
      </w:r>
      <w:r>
        <w:t xml:space="preserve">;</w:t>
      </w:r>
      <w:r>
        <w:t xml:space="preserve"> </w:t>
      </w:r>
      <w:r>
        <w:rPr>
          <w:bCs/>
          <w:b/>
        </w:rPr>
        <w:t xml:space="preserve">kelly2023?</w:t>
      </w:r>
      <w:r>
        <w:t xml:space="preserve"> </w:t>
      </w:r>
      <w:r>
        <w:t xml:space="preserve">for details)</w:t>
      </w:r>
      <w:r>
        <w:t xml:space="preserve">.</w:t>
      </w:r>
    </w:p>
    <w:p>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w:t>
      </w:r>
      <w:r>
        <w:t xml:space="preserve"> </w:t>
      </w:r>
      <w:r>
        <w:t xml:space="preserve">(</w:t>
      </w:r>
      <w:r>
        <w:rPr>
          <w:bCs/>
          <w:b/>
        </w:rPr>
        <w:t xml:space="preserve">mcintyre2001?</w:t>
      </w:r>
      <w:r>
        <w:t xml:space="preserve">;</w:t>
      </w:r>
      <w:r>
        <w:t xml:space="preserve"> </w:t>
      </w:r>
      <w:r>
        <w:rPr>
          <w:bCs/>
          <w:b/>
        </w:rPr>
        <w:t xml:space="preserve">kelly2008a?</w:t>
      </w:r>
      <w:r>
        <w:t xml:space="preserve">)</w:t>
      </w:r>
      <w:r>
        <w:t xml:space="preserve">. Transmitters represent 3.83% and 1.74% of male and female body mass, respectively. Weta were released at their point of capture. I used radio telemetry to locate radio-tagged weta once each day while in their dirunal refuge.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on average, for females and 5.76 ± 0.45 (n = 16) times for males. Females and males were observed a total of 127 and 108 times, respectively (see electronic supplementary material, figure S1).</w:t>
      </w:r>
    </w:p>
    <w:p>
      <w:pPr>
        <w:pStyle w:val="BodyText"/>
      </w:pPr>
      <w:r>
        <w:t xml:space="preserve">I calculated mating success by dividing the total number of times that an individual was found paired with an opposite-sex conspecific by the total number of times they were located.</w:t>
      </w:r>
    </w:p>
    <w:bookmarkStart w:id="23" w:name="statistical-analysis"/>
    <w:p>
      <w:pPr>
        <w:pStyle w:val="Heading3"/>
      </w:pPr>
      <w:r>
        <w:t xml:space="preserve">Statistical analysis</w:t>
      </w:r>
    </w:p>
    <w:p>
      <w:pPr>
        <w:pStyle w:val="FirstParagraph"/>
      </w:pPr>
      <w:r>
        <w:t xml:space="preserve">Statistical analyses were performed within the R v. 4.2.1 statistical environment</w:t>
      </w:r>
      <w:r>
        <w:t xml:space="preserve"> </w:t>
      </w:r>
      <w:r>
        <w:t xml:space="preserve">(</w:t>
      </w:r>
      <w:r>
        <w:rPr>
          <w:bCs/>
          <w:b/>
        </w:rPr>
        <w:t xml:space="preserve">r2013?</w:t>
      </w:r>
      <w:r>
        <w:t xml:space="preserve">)</w:t>
      </w:r>
      <w:r>
        <w:t xml:space="preserve">. I used an inverse hyperbolic sine transformation in the R package</w:t>
      </w:r>
      <w:r>
        <w:t xml:space="preserve"> </w:t>
      </w:r>
      <w:r>
        <w:rPr>
          <w:iCs/>
          <w:i/>
        </w:rPr>
        <w:t xml:space="preserve">bestNormalize</w:t>
      </w:r>
      <w:r>
        <w:t xml:space="preserve"> </w:t>
      </w:r>
      <w:r>
        <w:t xml:space="preserve">(</w:t>
      </w:r>
      <w:r>
        <w:rPr>
          <w:bCs/>
          <w:b/>
        </w:rPr>
        <w:t xml:space="preserve">peterson2021?</w:t>
      </w:r>
      <w:r>
        <w:t xml:space="preserve">)</w:t>
      </w:r>
      <w:r>
        <w:t xml:space="preserve"> </w:t>
      </w:r>
      <w:r>
        <w:t xml:space="preserve">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w:t>
      </w:r>
      <w:r>
        <w:t xml:space="preserve"> </w:t>
      </w:r>
      <w:r>
        <w:t xml:space="preserve">“</w:t>
      </w:r>
      <w:r>
        <w:t xml:space="preserve">average</w:t>
      </w:r>
      <w:r>
        <w:t xml:space="preserve">”</w:t>
      </w:r>
      <w:r>
        <w:t xml:space="preserve"> </w:t>
      </w:r>
      <w:r>
        <w:t xml:space="preserve">weta irrespective of sex</w:t>
      </w:r>
      <w:r>
        <w:t xml:space="preserve"> </w:t>
      </w:r>
      <w:r>
        <w:t xml:space="preserve">(</w:t>
      </w:r>
      <w:r>
        <w:rPr>
          <w:bCs/>
          <w:b/>
        </w:rPr>
        <w:t xml:space="preserve">hertel2021?</w:t>
      </w:r>
      <w:r>
        <w:t xml:space="preserve">)</w:t>
      </w:r>
      <w:r>
        <w:t xml:space="preserve">.</w:t>
      </w:r>
    </w:p>
    <w:p>
      <w:pPr>
        <w:pStyle w:val="BodyText"/>
      </w:pPr>
      <w:r>
        <w:t xml:space="preserve">I fitted a Bayesian double hierarchical generalized linear mixed-effects (DHGLM) multivariable model to investigate sex differences in mean- and residual-level nightly travel distance using the R package brms</w:t>
      </w:r>
      <w:r>
        <w:t xml:space="preserve"> </w:t>
      </w:r>
      <w:r>
        <w:t xml:space="preserve">(</w:t>
      </w:r>
      <w:r>
        <w:rPr>
          <w:bCs/>
          <w:b/>
        </w:rPr>
        <w:t xml:space="preserve">burkner2017?</w:t>
      </w:r>
      <w:r>
        <w:t xml:space="preserve">)</w:t>
      </w:r>
      <w:r>
        <w:t xml:space="preserve">.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w:t>
      </w:r>
      <w:r>
        <w:t xml:space="preserve"> </w:t>
      </w:r>
      <w:r>
        <w:t xml:space="preserve">(</w:t>
      </w:r>
      <w:r>
        <w:rPr>
          <w:bCs/>
          <w:b/>
        </w:rPr>
        <w:t xml:space="preserve">hertel2021?</w:t>
      </w:r>
      <w:r>
        <w:t xml:space="preserve">)</w:t>
      </w:r>
      <w:r>
        <w:t xml:space="preserve">.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verified with sufficient mixing of trace plots, with all Rhat values = 1. I report posterior means with 95% credible intervals (CrI), with inference based on CrIs not overlapping zero.</w:t>
      </w:r>
    </w:p>
    <w:p>
      <w:pPr>
        <w:pStyle w:val="BodyText"/>
      </w:pPr>
      <w:r>
        <w:t xml:space="preserve">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pPr>
        <w:pStyle w:val="BodyText"/>
      </w:pPr>
      <w:r>
        <w:t xml:space="preserve">Data were visualized using the R packages</w:t>
      </w:r>
      <w:r>
        <w:t xml:space="preserve"> </w:t>
      </w:r>
      <w:r>
        <w:rPr>
          <w:iCs/>
          <w:i/>
        </w:rPr>
        <w:t xml:space="preserve">ggplot2</w:t>
      </w:r>
      <w:r>
        <w:t xml:space="preserve"> </w:t>
      </w:r>
      <w:r>
        <w:t xml:space="preserve">(</w:t>
      </w:r>
      <w:r>
        <w:rPr>
          <w:bCs/>
          <w:b/>
        </w:rPr>
        <w:t xml:space="preserve">wickham2016?</w:t>
      </w:r>
      <w:r>
        <w:t xml:space="preserve">)</w:t>
      </w:r>
      <w:r>
        <w:t xml:space="preserve">. Unless otherwise noted, means are given ± one standard error of the mean (SEM).</w:t>
      </w:r>
    </w:p>
    <w:bookmarkEnd w:id="23"/>
    <w:bookmarkEnd w:id="24"/>
    <w:bookmarkStart w:id="25" w:name="results"/>
    <w:p>
      <w:pPr>
        <w:pStyle w:val="Heading1"/>
      </w:pPr>
      <w:r>
        <w:t xml:space="preserve">Results</w:t>
      </w:r>
    </w:p>
    <w:p>
      <w:pPr>
        <w:pStyle w:val="FirstParagraph"/>
      </w:pPr>
      <w:r>
        <w:t xml:space="preserve">A previous report on this population of animals</w:t>
      </w:r>
      <w:r>
        <w:t xml:space="preserve"> </w:t>
      </w:r>
      <w:r>
        <w:t xml:space="preserve">(</w:t>
      </w:r>
      <w:r>
        <w:rPr>
          <w:bCs/>
          <w:b/>
        </w:rPr>
        <w:t xml:space="preserve">kelly2023?</w:t>
      </w:r>
      <w:r>
        <w:t xml:space="preserve">)</w:t>
      </w:r>
      <w:r>
        <w:t xml:space="preserve"> </w:t>
      </w:r>
      <w:r>
        <w:t xml:space="preserve">showed that males (18.77 ± 4.46 m/night, n = 17) travel significantly farther per night on average than females (7.89 ± 1.26 m/night, n = 16) and that travel distance is significantly repeatable in both sexes (males: R = 0.60 [0.33–0.77], n = 17; females: R = 0.30 [0.06–0.51], n = 16) with sex explaining approximately 8% of the variation in travel distance (see supplemental material).</w:t>
      </w:r>
    </w:p>
    <w:p>
      <w:pPr>
        <w:pStyle w:val="BodyText"/>
      </w:pPr>
      <w:r>
        <w:t xml:space="preserve">The population level mean residual standard deviation for nightly travel distance is 7.66 m (back-transformed intercept of the dispersion model exp(y</w:t>
      </w:r>
      <w:r>
        <w:rPr>
          <w:vertAlign w:val="subscript"/>
        </w:rPr>
        <w:t xml:space="preserve">0</w:t>
      </w:r>
      <w:r>
        <w:t xml:space="preserve">) = -0.47;</w:t>
      </w:r>
      <w:r>
        <w:t xml:space="preserve"> </w:t>
      </w:r>
      <w:hyperlink w:anchor="tbl-one">
        <w:r>
          <w:rPr>
            <w:rStyle w:val="Hyperlink"/>
          </w:rPr>
          <w:t xml:space="preserve">Table 1</w:t>
        </w:r>
      </w:hyperlink>
      <w:r>
        <w:t xml:space="preserve">). As predicted, females were more predictable in their nightly travel distance than males (y</w:t>
      </w:r>
      <w:r>
        <w:rPr>
          <w:vertAlign w:val="subscript"/>
        </w:rPr>
        <w:t xml:space="preserve">sex</w:t>
      </w:r>
      <w:r>
        <w:t xml:space="preserve"> </w:t>
      </w:r>
      <w:r>
        <w:t xml:space="preserve">= 0.32 [0.04, 0.57];</w:t>
      </w:r>
      <w:r>
        <w:t xml:space="preserve"> </w:t>
      </w:r>
      <w:hyperlink w:anchor="fig-one">
        <w:r>
          <w:rPr>
            <w:rStyle w:val="Hyperlink"/>
          </w:rPr>
          <w:t xml:space="preserve">Figure 1</w:t>
        </w:r>
      </w:hyperlink>
      <w:r>
        <w:t xml:space="preserve">). The predicted standard deviation from the mean residual standard deviation (rIIV) for nightly travel distance varied across individuals (</w:t>
      </w:r>
      <m:oMath>
        <m:r>
          <m:t>ω</m:t>
        </m:r>
      </m:oMath>
      <w:r>
        <w:rPr>
          <w:vertAlign w:val="superscript"/>
        </w:rPr>
        <w:t xml:space="preserve">2</w:t>
      </w:r>
      <w:r>
        <w:rPr>
          <w:vertAlign w:val="subscript"/>
        </w:rPr>
        <w:t xml:space="preserve">ID</w:t>
      </w:r>
      <w:r>
        <w:t xml:space="preserve"> </w:t>
      </w:r>
      <w:r>
        <w:t xml:space="preserve">= 0.12 [0.01, 0.32]), which suggests that the predictability of nightly movement differs across individuals.</w:t>
      </w:r>
    </w:p>
    <w:p>
      <w:pPr>
        <w:pStyle w:val="BodyText"/>
      </w:pPr>
      <w:r>
        <w:t xml:space="preserve">Behavioural type was not correlated with predictability (</w:t>
      </w:r>
      <w:r>
        <w:rPr>
          <w:iCs/>
          <w:i/>
        </w:rPr>
        <w:t xml:space="preserve">r</w:t>
      </w:r>
      <w:r>
        <w:t xml:space="preserve"> </w:t>
      </w:r>
      <w:r>
        <w:t xml:space="preserve">= -0.12 [-0.87, 0.78]) nor was mating success correlated with behavioural predictability (females:</w:t>
      </w:r>
      <w:r>
        <w:t xml:space="preserve"> </w:t>
      </w:r>
      <w:r>
        <w:rPr>
          <w:iCs/>
          <w:i/>
        </w:rPr>
        <w:t xml:space="preserve">r</w:t>
      </w:r>
      <w:r>
        <w:t xml:space="preserve"> </w:t>
      </w:r>
      <w:r>
        <w:t xml:space="preserve">= -0.122, df = 14, p=0.654; males:</w:t>
      </w:r>
      <w:r>
        <w:t xml:space="preserve"> </w:t>
      </w:r>
      <w:r>
        <w:rPr>
          <w:iCs/>
          <w:i/>
        </w:rPr>
        <w:t xml:space="preserve">r</w:t>
      </w:r>
      <w:r>
        <w:t xml:space="preserve"> </w:t>
      </w:r>
      <w:r>
        <w:t xml:space="preserve">= 0.064, df = 15, p=0.807) or behavioural type (females:</w:t>
      </w:r>
      <w:r>
        <w:t xml:space="preserve"> </w:t>
      </w:r>
      <w:r>
        <w:rPr>
          <w:iCs/>
          <w:i/>
        </w:rPr>
        <w:t xml:space="preserve">r</w:t>
      </w:r>
      <w:r>
        <w:t xml:space="preserve"> </w:t>
      </w:r>
      <w:r>
        <w:t xml:space="preserve">= 0.10, df = 14, p=0.714; males:</w:t>
      </w:r>
      <w:r>
        <w:t xml:space="preserve"> </w:t>
      </w:r>
      <w:r>
        <w:rPr>
          <w:iCs/>
          <w:i/>
        </w:rPr>
        <w:t xml:space="preserve">r</w:t>
      </w:r>
      <w:r>
        <w:t xml:space="preserve"> </w:t>
      </w:r>
      <w:r>
        <w:t xml:space="preserve">= -0.19, df = 15, p=0.453) in either sex.</w:t>
      </w:r>
    </w:p>
    <w:bookmarkEnd w:id="25"/>
    <w:bookmarkStart w:id="26" w:name="discussion"/>
    <w:p>
      <w:pPr>
        <w:pStyle w:val="Heading1"/>
      </w:pPr>
      <w:r>
        <w:t xml:space="preserve">Discussion</w:t>
      </w:r>
    </w:p>
    <w:p>
      <w:pPr>
        <w:pStyle w:val="FirstParagraph"/>
      </w:pPr>
      <w:r>
        <w:t xml:space="preserve">My field study found, as predicted, that adult male</w:t>
      </w:r>
      <w:r>
        <w:t xml:space="preserve"> </w:t>
      </w:r>
      <w:r>
        <w:rPr>
          <w:iCs/>
          <w:i/>
        </w:rPr>
        <w:t xml:space="preserve">D. rugosa</w:t>
      </w:r>
      <w:r>
        <w:t xml:space="preserve"> </w:t>
      </w:r>
      <w:r>
        <w:t xml:space="preserve">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pPr>
        <w:pStyle w:val="BodyText"/>
      </w:pPr>
      <w:r>
        <w:t xml:space="preserve">I hypothesize that the greater predictability of female nightly travel distance likely reflects passive plasticity rather than adaptive residual within-individual variation</w:t>
      </w:r>
      <w:r>
        <w:t xml:space="preserve"> </w:t>
      </w:r>
      <w:r>
        <w:t xml:space="preserve">(</w:t>
      </w:r>
      <w:r>
        <w:rPr>
          <w:bCs/>
          <w:b/>
        </w:rPr>
        <w:t xml:space="preserve">westneat2015?</w:t>
      </w:r>
      <w:r>
        <w:t xml:space="preserve">)</w:t>
      </w:r>
      <w:r>
        <w:t xml:space="preserve">. Females travel significantly less per night, on average than males</w:t>
      </w:r>
      <w:r>
        <w:t xml:space="preserve"> </w:t>
      </w:r>
      <w:r>
        <w:t xml:space="preserve">(</w:t>
      </w:r>
      <w:r>
        <w:rPr>
          <w:bCs/>
          <w:b/>
        </w:rPr>
        <w:t xml:space="preserve">kelly2008a?</w:t>
      </w:r>
      <w:r>
        <w:t xml:space="preserve">;</w:t>
      </w:r>
      <w:r>
        <w:t xml:space="preserve"> </w:t>
      </w:r>
      <w:r>
        <w:rPr>
          <w:bCs/>
          <w:b/>
        </w:rPr>
        <w:t xml:space="preserve">kelly2023?</w:t>
      </w:r>
      <w:r>
        <w:t xml:space="preserve">)</w:t>
      </w:r>
      <w:r>
        <w:t xml:space="preserve">, likely because adequate forage and diurnal refuges happen to be nearby and do not require extensive travel. Short travel distances are likely also adaptive for females because less travel means smaller energetic costs</w:t>
      </w:r>
      <w:r>
        <w:t xml:space="preserve"> </w:t>
      </w:r>
      <w:r>
        <w:t xml:space="preserve">(</w:t>
      </w:r>
      <w:r>
        <w:rPr>
          <w:bCs/>
          <w:b/>
        </w:rPr>
        <w:t xml:space="preserve">kelly2016?</w:t>
      </w:r>
      <w:r>
        <w:t xml:space="preserve">)</w:t>
      </w:r>
      <w:r>
        <w:t xml:space="preserve">. In contrast, male unpredictability also likely reflects passive plasticity as male travel distance is dictated by female proximity</w:t>
      </w:r>
      <w:r>
        <w:t xml:space="preserve"> </w:t>
      </w:r>
      <w:r>
        <w:t xml:space="preserve">(</w:t>
      </w:r>
      <w:r>
        <w:rPr>
          <w:bCs/>
          <w:b/>
        </w:rPr>
        <w:t xml:space="preserve">kelly2023?</w:t>
      </w:r>
      <w:r>
        <w:t xml:space="preserve">;</w:t>
      </w:r>
      <w:r>
        <w:t xml:space="preserve"> </w:t>
      </w:r>
      <w:r>
        <w:rPr>
          <w:bCs/>
          <w:b/>
        </w:rPr>
        <w:t xml:space="preserve">kelly2016?</w:t>
      </w:r>
      <w:r>
        <w:t xml:space="preserve">)</w:t>
      </w:r>
      <w:r>
        <w:t xml:space="preserve"> </w:t>
      </w:r>
      <w:r>
        <w:t xml:space="preserve">meaning that the sooner a mate is found, the less a male travels</w:t>
      </w:r>
      <w:r>
        <w:t xml:space="preserve"> </w:t>
      </w:r>
      <w:r>
        <w:t xml:space="preserve">(</w:t>
      </w:r>
      <w:r>
        <w:rPr>
          <w:bCs/>
          <w:b/>
        </w:rPr>
        <w:t xml:space="preserve">watts2011?</w:t>
      </w:r>
      <w:r>
        <w:t xml:space="preserve">)</w:t>
      </w:r>
      <w:r>
        <w:t xml:space="preserve">.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pPr>
        <w:pStyle w:val="BodyText"/>
      </w:pPr>
      <w:r>
        <w:t xml:space="preserve">Hertel et al.</w:t>
      </w:r>
      <w:r>
        <w:t xml:space="preserve"> </w:t>
      </w:r>
      <w:r>
        <w:t xml:space="preserve">(</w:t>
      </w:r>
      <w:r>
        <w:rPr>
          <w:bCs/>
          <w:b/>
        </w:rPr>
        <w:t xml:space="preserve">hertel2020?</w:t>
      </w:r>
      <w:r>
        <w:t xml:space="preserve">)</w:t>
      </w:r>
      <w:r>
        <w:t xml:space="preserve"> </w:t>
      </w:r>
      <w:r>
        <w:t xml:space="preserve">also found that male African elephants (</w:t>
      </w:r>
      <w:r>
        <w:rPr>
          <w:iCs/>
          <w:i/>
        </w:rPr>
        <w:t xml:space="preserve">Loxodonta africanus</w:t>
      </w:r>
      <w:r>
        <w:t xml:space="preserve">) tend to be less predictable than females in their daily travel distance, however, no biological explanation was provided for this sex difference. Another study showed considerable variation among female brown bears (</w:t>
      </w:r>
      <w:r>
        <w:rPr>
          <w:iCs/>
          <w:i/>
        </w:rPr>
        <w:t xml:space="preserve">Ursus arctos</w:t>
      </w:r>
      <w:r>
        <w:t xml:space="preserve">) in the predictability of their daily movement distances</w:t>
      </w:r>
      <w:r>
        <w:t xml:space="preserve"> </w:t>
      </w:r>
      <w:r>
        <w:t xml:space="preserve">(</w:t>
      </w:r>
      <w:r>
        <w:rPr>
          <w:bCs/>
          <w:b/>
        </w:rPr>
        <w:t xml:space="preserve">hertel2021?</w:t>
      </w:r>
      <w:r>
        <w:t xml:space="preserve">)</w:t>
      </w:r>
      <w:r>
        <w:t xml:space="preserve">. Unlike the current study, Hertel et al.</w:t>
      </w:r>
      <w:r>
        <w:t xml:space="preserve"> </w:t>
      </w:r>
      <w:r>
        <w:t xml:space="preserve">(</w:t>
      </w:r>
      <w:r>
        <w:rPr>
          <w:bCs/>
          <w:b/>
        </w:rPr>
        <w:t xml:space="preserve">hertel2021?</w:t>
      </w:r>
      <w:r>
        <w:t xml:space="preserve">)</w:t>
      </w:r>
      <w:r>
        <w:t xml:space="preserve"> </w:t>
      </w:r>
      <w:r>
        <w:t xml:space="preserve">showed that behavioural type correlates with behavioural predictability as more predictable bears moved less per day on average and were less diurnal than less predictable bears.</w:t>
      </w:r>
    </w:p>
    <w:p>
      <w:pPr>
        <w:pStyle w:val="BodyText"/>
      </w:pPr>
      <w:r>
        <w:t xml:space="preserve">Although there is a paucity of studies examining sex differences in movement behaviour</w:t>
      </w:r>
      <w:r>
        <w:t xml:space="preserve"> </w:t>
      </w:r>
      <w:r>
        <w:t xml:space="preserve">(see</w:t>
      </w:r>
      <w:r>
        <w:t xml:space="preserve"> </w:t>
      </w:r>
      <w:r>
        <w:rPr>
          <w:bCs/>
          <w:b/>
        </w:rPr>
        <w:t xml:space="preserve">spiegel2017?</w:t>
      </w:r>
      <w:r>
        <w:t xml:space="preserve">)</w:t>
      </w:r>
      <w:r>
        <w:t xml:space="preserve">, a handful of studies have examined sex differences in the predictability of other fitness-related behaviours</w:t>
      </w:r>
      <w:r>
        <w:t xml:space="preserve"> </w:t>
      </w:r>
      <w:r>
        <w:t xml:space="preserve">(</w:t>
      </w:r>
      <w:r>
        <w:rPr>
          <w:bCs/>
          <w:b/>
        </w:rPr>
        <w:t xml:space="preserve">mclean2020?</w:t>
      </w:r>
      <w:r>
        <w:t xml:space="preserve">;</w:t>
      </w:r>
      <w:r>
        <w:t xml:space="preserve"> </w:t>
      </w:r>
      <w:r>
        <w:rPr>
          <w:bCs/>
          <w:b/>
        </w:rPr>
        <w:t xml:space="preserve">horvath2019?</w:t>
      </w:r>
      <w:r>
        <w:t xml:space="preserve">;</w:t>
      </w:r>
      <w:r>
        <w:t xml:space="preserve"> </w:t>
      </w:r>
      <w:r>
        <w:rPr>
          <w:bCs/>
          <w:b/>
        </w:rPr>
        <w:t xml:space="preserve">white2017a?</w:t>
      </w:r>
      <w:r>
        <w:t xml:space="preserve">;</w:t>
      </w:r>
      <w:r>
        <w:t xml:space="preserve"> </w:t>
      </w:r>
      <w:r>
        <w:rPr>
          <w:bCs/>
          <w:b/>
        </w:rPr>
        <w:t xml:space="preserve">brand2023?</w:t>
      </w:r>
      <w:r>
        <w:t xml:space="preserve">)</w:t>
      </w:r>
      <w:r>
        <w:t xml:space="preserve">. These studies suggest, however, that one sex is not more consistently predictable than the other. For example, Brand et al.</w:t>
      </w:r>
      <w:r>
        <w:t xml:space="preserve"> </w:t>
      </w:r>
      <w:r>
        <w:t xml:space="preserve">(</w:t>
      </w:r>
      <w:r>
        <w:rPr>
          <w:bCs/>
          <w:b/>
        </w:rPr>
        <w:t xml:space="preserve">brand2023?</w:t>
      </w:r>
      <w:r>
        <w:t xml:space="preserve">)</w:t>
      </w:r>
      <w:r>
        <w:t xml:space="preserve"> </w:t>
      </w:r>
      <w:r>
        <w:t xml:space="preserve">found that male</w:t>
      </w:r>
      <w:r>
        <w:t xml:space="preserve"> </w:t>
      </w:r>
      <w:r>
        <w:rPr>
          <w:iCs/>
          <w:i/>
        </w:rPr>
        <w:t xml:space="preserve">Gambusia holbrooki</w:t>
      </w:r>
      <w:r>
        <w:t xml:space="preserve"> </w:t>
      </w:r>
      <w:r>
        <w:t xml:space="preserve">mosquitofish are more predictable than females in some behaviours but less predictable in others. They suggest that the sexes might adjust their behavioural consistency differently in response to subtle environmental changes.</w:t>
      </w:r>
    </w:p>
    <w:p>
      <w:pPr>
        <w:pStyle w:val="BodyText"/>
      </w:pPr>
      <w:r>
        <w:t xml:space="preserve">Previous studies have shown that male</w:t>
      </w:r>
      <w:r>
        <w:t xml:space="preserve"> </w:t>
      </w:r>
      <w:r>
        <w:rPr>
          <w:iCs/>
          <w:i/>
        </w:rPr>
        <w:t xml:space="preserve">D. rugosa</w:t>
      </w:r>
      <w:r>
        <w:t xml:space="preserve"> </w:t>
      </w:r>
      <w:r>
        <w:t xml:space="preserve">move farther per night on average than females on Maud Island</w:t>
      </w:r>
      <w:r>
        <w:t xml:space="preserve"> </w:t>
      </w:r>
      <w:r>
        <w:t xml:space="preserve">(</w:t>
      </w:r>
      <w:r>
        <w:rPr>
          <w:bCs/>
          <w:b/>
        </w:rPr>
        <w:t xml:space="preserve">kelly2008a?</w:t>
      </w:r>
      <w:r>
        <w:t xml:space="preserve">;</w:t>
      </w:r>
      <w:r>
        <w:t xml:space="preserve"> </w:t>
      </w:r>
      <w:r>
        <w:rPr>
          <w:bCs/>
          <w:b/>
        </w:rPr>
        <w:t xml:space="preserve">kelly2023?</w:t>
      </w:r>
      <w:r>
        <w:t xml:space="preserve">)</w:t>
      </w:r>
      <w:r>
        <w:t xml:space="preserve"> </w:t>
      </w:r>
      <w:r>
        <w:t xml:space="preserve">and Karori Sanctuary</w:t>
      </w:r>
      <w:r>
        <w:t xml:space="preserve"> </w:t>
      </w:r>
      <w:r>
        <w:t xml:space="preserve">(</w:t>
      </w:r>
      <w:r>
        <w:rPr>
          <w:bCs/>
          <w:b/>
        </w:rPr>
        <w:t xml:space="preserve">watts2012?</w:t>
      </w:r>
      <w:r>
        <w:t xml:space="preserve">)</w:t>
      </w:r>
      <w:r>
        <w:t xml:space="preserve"> </w:t>
      </w:r>
      <w:r>
        <w:t xml:space="preserve">but not on Matiu-Somes Island</w:t>
      </w:r>
      <w:r>
        <w:t xml:space="preserve"> </w:t>
      </w:r>
      <w:r>
        <w:t xml:space="preserve">(</w:t>
      </w:r>
      <w:r>
        <w:rPr>
          <w:bCs/>
          <w:b/>
        </w:rPr>
        <w:t xml:space="preserve">watts2011?</w:t>
      </w:r>
      <w:r>
        <w:t xml:space="preserve">)</w:t>
      </w:r>
      <w:r>
        <w:t xml:space="preserve">. Population differences in sex-specific travel distances might be related to the higher population density on Matiu-Somes Island, making mate location easier for males</w:t>
      </w:r>
      <w:r>
        <w:t xml:space="preserve"> </w:t>
      </w:r>
      <w:r>
        <w:t xml:space="preserve">(</w:t>
      </w:r>
      <w:r>
        <w:rPr>
          <w:bCs/>
          <w:b/>
        </w:rPr>
        <w:t xml:space="preserve">watts2011?</w:t>
      </w:r>
      <w:r>
        <w:t xml:space="preserve">)</w:t>
      </w:r>
      <w:r>
        <w:t xml:space="preserve">. Kelly and Gwynne</w:t>
      </w:r>
      <w:r>
        <w:t xml:space="preserve"> </w:t>
      </w:r>
      <w:r>
        <w:t xml:space="preserve">(</w:t>
      </w:r>
      <w:r>
        <w:rPr>
          <w:bCs/>
          <w:b/>
        </w:rPr>
        <w:t xml:space="preserve">kelly2023?</w:t>
      </w:r>
      <w:r>
        <w:t xml:space="preserve">)</w:t>
      </w:r>
      <w:r>
        <w:t xml:space="preserve"> </w:t>
      </w:r>
      <w:r>
        <w:t xml:space="preserve">showed that both males and females exhibit significant repeatability in their nightly travel distance suggesting that members of this species express behavioural types. I found, however, that type-dependent movement patterns in</w:t>
      </w:r>
      <w:r>
        <w:t xml:space="preserve"> </w:t>
      </w:r>
      <w:r>
        <w:rPr>
          <w:iCs/>
          <w:i/>
        </w:rPr>
        <w:t xml:space="preserve">D. rugosa</w:t>
      </w:r>
      <w:r>
        <w:t xml:space="preserve"> </w:t>
      </w:r>
      <w:r>
        <w:t xml:space="preserve">were not related to mating success in either sex. Perhaps behavioural types in this species confer survival advantages rather than reproductive benefits. Future work should identify how male and female</w:t>
      </w:r>
      <w:r>
        <w:t xml:space="preserve"> </w:t>
      </w:r>
      <w:r>
        <w:rPr>
          <w:iCs/>
          <w:i/>
        </w:rPr>
        <w:t xml:space="preserve">D. rugosa</w:t>
      </w:r>
      <w:r>
        <w:t xml:space="preserve"> </w:t>
      </w:r>
      <w:r>
        <w:t xml:space="preserve">benefit from adopting one behavioural type over another.</w:t>
      </w:r>
    </w:p>
    <w:p>
      <w:pPr>
        <w:pStyle w:val="BodyText"/>
      </w:pPr>
      <w:r>
        <w:t xml:space="preserve">In conclusion, the sex difference in behavioural predictability exhibited by</w:t>
      </w:r>
      <w:r>
        <w:t xml:space="preserve"> </w:t>
      </w:r>
      <w:r>
        <w:rPr>
          <w:iCs/>
          <w:i/>
        </w:rPr>
        <w:t xml:space="preserve">D. rugosa</w:t>
      </w:r>
      <w:r>
        <w:t xml:space="preserve"> </w:t>
      </w:r>
      <w:r>
        <w:t xml:space="preserve">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w:t>
      </w:r>
      <w:r>
        <w:t xml:space="preserve"> </w:t>
      </w:r>
      <w:r>
        <w:t xml:space="preserve">(</w:t>
      </w:r>
      <w:r>
        <w:rPr>
          <w:bCs/>
          <w:b/>
        </w:rPr>
        <w:t xml:space="preserve">spiegel2017?</w:t>
      </w:r>
      <w:r>
        <w:t xml:space="preserve">)</w:t>
      </w:r>
      <w:r>
        <w:t xml:space="preserve">, to elucidate if differences between males and females is the general pattern, and if so, identify why.</w:t>
      </w:r>
    </w:p>
    <w:bookmarkEnd w:id="26"/>
    <w:bookmarkStart w:id="27" w:name="declarations"/>
    <w:p>
      <w:pPr>
        <w:pStyle w:val="Heading1"/>
      </w:pPr>
      <w:r>
        <w:t xml:space="preserve">Declarations</w:t>
      </w:r>
    </w:p>
    <w:p>
      <w:pPr>
        <w:pStyle w:val="FirstParagraph"/>
      </w:pPr>
      <w:r>
        <w:rPr>
          <w:bCs/>
          <w:b/>
        </w:rPr>
        <w:t xml:space="preserve">Funding</w:t>
      </w:r>
      <w:r>
        <w:t xml:space="preserve"> </w:t>
      </w:r>
      <w:r>
        <w:t xml:space="preserve">Natural Sciences and Engineering Research Council of Canada (NSERC).</w:t>
      </w:r>
    </w:p>
    <w:p>
      <w:pPr>
        <w:pStyle w:val="BodyText"/>
      </w:pPr>
      <w:r>
        <w:rPr>
          <w:bCs/>
          <w:b/>
        </w:rPr>
        <w:t xml:space="preserve">Availability of data and materials</w:t>
      </w:r>
      <w:r>
        <w:t xml:space="preserve"> </w:t>
      </w:r>
      <w:r>
        <w:t xml:space="preserve">Data are available on Open Science Framework: https://doi.org/10.17605/OSF.IO/T9CEH</w:t>
      </w:r>
    </w:p>
    <w:bookmarkEnd w:id="27"/>
    <w:bookmarkStart w:id="30" w:name="references"/>
    <w:p>
      <w:pPr>
        <w:pStyle w:val="Heading1"/>
      </w:pPr>
      <w:r>
        <w:t xml:space="preserve">References</w:t>
      </w:r>
    </w:p>
    <w:bookmarkStart w:id="28" w:name="refs"/>
    <w:bookmarkEnd w:id="28"/>
    <w:p>
      <w:r>
        <w:br w:type="page"/>
      </w:r>
    </w:p>
    <w:tbl>
      <w:tblPr>
        <w:tblStyle w:val="Table"/>
        <w:tblW w:type="pct" w:w="5000"/>
        <w:tblLook w:firstRow="0" w:lastRow="0" w:firstColumn="0" w:lastColumn="0" w:noHBand="0" w:noVBand="0" w:val="0000"/>
        <w:jc w:val="start"/>
        <w:tblLayout w:type="fixed"/>
      </w:tblPr>
      <w:tblGrid>
        <w:gridCol w:w="7920"/>
      </w:tblGrid>
      <w:tr>
        <w:tc>
          <w:tcPr/>
          <w:bookmarkStart w:id="29" w:name="tbl-one"/>
          <w:p>
            <w:pPr>
              <w:jc w:val="center"/>
            </w:pPr>
            <w:pPr>
              <w:jc w:val="start"/>
              <w:spacing w:before="200"/>
              <w:pStyle w:val="ImageCaption"/>
            </w:pPr>
            <w:r>
              <w:t xml:space="preserve">Table 1: Estimates [95% credible intervals, CrI] of fixed and random effects on nightly travel distance (mean model) and residual standard deviation of nightly travel distance (dispersion model) in Cook Strait giant weta (</w:t>
            </w:r>
            <w:r>
              <w:rPr>
                <w:iCs/>
                <w:i/>
              </w:rPr>
              <w:t xml:space="preserve">D. rugosa</w:t>
            </w:r>
            <w:r>
              <w:t xml:space="preserve">). Variation in mean behaviour and residual standard deviation of behaviour (rIIV) was estimated among individual weta of both sexes. Estimates are based on double hierarchical mixed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6"/>
              <w:gridCol w:w="2274"/>
            </w:tblGrid>
            <w:tr>
              <w:trPr>
                <w:trHeight w:val="627" w:hRule="auto"/>
              </w:trPr>
              body 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Estimate [95% CrI]</w:t>
                  </w:r>
                </w:p>
              </w:tc>
            </w:tr>
            <w:tr>
              <w:trPr>
                <w:trHeight w:val="627" w:hRule="auto"/>
              </w:trPr>
              body 2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Mean model</w:t>
                  </w:r>
                </w:p>
              </w:tc>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 [-0.07, 0.63]</w:t>
                  </w:r>
                </w:p>
              </w:tc>
            </w:tr>
            <w:tr>
              <w:trPr>
                <w:trHeight w:val="66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0.85 [0.13, 1.57]</w:t>
                  </w:r>
                </w:p>
              </w:tc>
            </w:tr>
            <w:tr>
              <w:trPr>
                <w:trHeight w:val="6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[-0.15, 0.01]</w:t>
                  </w:r>
                </w:p>
              </w:tc>
            </w:tr>
            <w:tr>
              <w:trPr>
                <w:trHeight w:val="6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 x 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[-0.24, 0.08]</w:t>
                  </w:r>
                </w:p>
              </w:tc>
            </w:tr>
            <w:tr>
              <w:trPr>
                <w:trHeight w:val="62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[0.43, 1.09]</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slope.observation.n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[0.01, 0.17]</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 [-0.88, 0.50]</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Dispersion model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 [-0.65, -0.27]</w:t>
                  </w:r>
                </w:p>
              </w:tc>
            </w:tr>
            <w:tr>
              <w:trPr>
                <w:trHeight w:val="66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[0.04, 0.57]</w:t>
                  </w:r>
                </w:p>
              </w:tc>
            </w:tr>
            <w:tr>
              <w:trPr>
                <w:trHeight w:val="62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ω</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[0.01, 0.32]</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intercept-ω</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[-0.87, 0.78]</w:t>
                  </w:r>
                </w:p>
              </w:tc>
            </w:tr>
            <w:tr>
              <w:trPr>
                <w:trHeight w:val="668"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observation.n-ω</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[-0.88, 0.83]</w:t>
                  </w:r>
                </w:p>
              </w:tc>
            </w:tr>
          </w:tbl>
          <w:bookmarkEnd w:id="29"/>
        </w:tc>
      </w:tr>
    </w:tbl>
    <w:p>
      <w:r>
        <w:br w:type="page"/>
      </w:r>
    </w:p>
    <w:bookmarkEnd w:id="30"/>
    <w:bookmarkStart w:id="35" w:name="figure"/>
    <w:p>
      <w:pPr>
        <w:pStyle w:val="Heading1"/>
      </w:pPr>
      <w:r>
        <w:t xml:space="preserve">Figure</w:t>
      </w:r>
    </w:p>
    <w:tbl>
      <w:tblPr>
        <w:tblStyle w:val="Table"/>
        <w:tblW w:type="pct" w:w="5000"/>
        <w:tblLook w:firstRow="0" w:lastRow="0" w:firstColumn="0" w:lastColumn="0" w:noHBand="0" w:noVBand="0" w:val="0000"/>
        <w:jc w:val="start"/>
        <w:tblLayout w:type="fixed"/>
      </w:tblPr>
      <w:tblGrid>
        <w:gridCol w:w="7920"/>
      </w:tblGrid>
      <w:tr>
        <w:tc>
          <w:tcPr/>
          <w:bookmarkStart w:id="34" w:name="fig-one"/>
          <w:p>
            <w:pPr>
              <w:pStyle w:val="Compact"/>
              <w:jc w:val="center"/>
            </w:pPr>
            <w:r>
              <w:drawing>
                <wp:inline>
                  <wp:extent cx="5892800" cy="5892800"/>
                  <wp:effectExtent b="0" l="0" r="0" t="0"/>
                  <wp:docPr descr="" title="" id="32" name="Picture"/>
                  <a:graphic>
                    <a:graphicData uri="http://schemas.openxmlformats.org/drawingml/2006/picture">
                      <pic:pic>
                        <pic:nvPicPr>
                          <pic:cNvPr descr="figure_1.png" id="33" name="Picture"/>
                          <pic:cNvPicPr>
                            <a:picLocks noChangeArrowheads="1" noChangeAspect="1"/>
                          </pic:cNvPicPr>
                        </pic:nvPicPr>
                        <pic:blipFill>
                          <a:blip r:embed="rId31"/>
                          <a:stretch>
                            <a:fillRect/>
                          </a:stretch>
                        </pic:blipFill>
                        <pic:spPr bwMode="auto">
                          <a:xfrm>
                            <a:off x="0" y="0"/>
                            <a:ext cx="5892800" cy="589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bookmarkEnd w:id="34"/>
        </w:tc>
      </w:tr>
    </w:tbl>
    <w:bookmarkEnd w:id="35"/>
    <w:sectPr w:rsidR="00D16E09" w:rsidSect="00851699">
      <w:pgSz w:h="15840" w:w="12240"/>
      <w:pgMar w:bottom="1440" w:footer="737" w:gutter="0" w:header="737" w:left="1474" w:right="1474"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D5E45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25E26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EE0F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6EA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ACF7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D5CDB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F883DB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B5A45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8826D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543F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05CEF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3D24D9"/>
    <w:multiLevelType w:val="multilevel"/>
    <w:tmpl w:val="1E004D3C"/>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4A572E80"/>
    <w:multiLevelType w:val="hybridMultilevel"/>
    <w:tmpl w:val="1E004D3C"/>
    <w:lvl w:ilvl="0" w:tplc="99CE243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5054215" w:numId="1">
    <w:abstractNumId w:val="10"/>
  </w:num>
  <w:num w16cid:durableId="1866140359" w:numId="2">
    <w:abstractNumId w:val="0"/>
  </w:num>
  <w:num w16cid:durableId="2053848946" w:numId="3">
    <w:abstractNumId w:val="1"/>
  </w:num>
  <w:num w16cid:durableId="1342463185" w:numId="4">
    <w:abstractNumId w:val="2"/>
  </w:num>
  <w:num w16cid:durableId="1274483611" w:numId="5">
    <w:abstractNumId w:val="3"/>
  </w:num>
  <w:num w16cid:durableId="995885320" w:numId="6">
    <w:abstractNumId w:val="8"/>
  </w:num>
  <w:num w16cid:durableId="896205620" w:numId="7">
    <w:abstractNumId w:val="4"/>
  </w:num>
  <w:num w16cid:durableId="1489981213" w:numId="8">
    <w:abstractNumId w:val="5"/>
  </w:num>
  <w:num w16cid:durableId="829293693" w:numId="9">
    <w:abstractNumId w:val="6"/>
  </w:num>
  <w:num w16cid:durableId="456608145" w:numId="10">
    <w:abstractNumId w:val="7"/>
  </w:num>
  <w:num w16cid:durableId="75834470" w:numId="11">
    <w:abstractNumId w:val="9"/>
  </w:num>
  <w:num w16cid:durableId="1124497384" w:numId="12">
    <w:abstractNumId w:val="12"/>
  </w:num>
  <w:num w16cid:durableId="442194333" w:numId="1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5421B"/>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CB0BD1"/>
    <w:pPr>
      <w:keepNext/>
      <w:keepLines/>
      <w:spacing w:after="0" w:before="200"/>
      <w:outlineLvl w:val="1"/>
    </w:pPr>
    <w:rPr>
      <w:rFonts w:asciiTheme="majorHAnsi" w:cstheme="majorBidi" w:eastAsiaTheme="majorEastAsia" w:hAnsiTheme="majorHAnsi"/>
      <w:b/>
      <w:bCs/>
      <w:color w:themeColor="text1" w:val="000000"/>
      <w:szCs w:val="32"/>
    </w:rPr>
  </w:style>
  <w:style w:styleId="Heading3" w:type="paragraph">
    <w:name w:val="heading 3"/>
    <w:basedOn w:val="Normal"/>
    <w:next w:val="BodyText"/>
    <w:uiPriority w:val="9"/>
    <w:unhideWhenUsed/>
    <w:qFormat/>
    <w:rsid w:val="0090509B"/>
    <w:pPr>
      <w:keepNext/>
      <w:keepLines/>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EE03BB"/>
    <w:pPr>
      <w:keepNext/>
      <w:keepLines/>
      <w:spacing w:after="0" w:before="200"/>
      <w:outlineLvl w:val="3"/>
    </w:pPr>
    <w:rPr>
      <w:rFonts w:asciiTheme="majorHAnsi" w:cstheme="majorBidi" w:eastAsiaTheme="majorEastAsia" w:hAnsiTheme="majorHAnsi"/>
      <w:b/>
      <w:bCs/>
      <w:color w:themeColor="text1" w:val="000000"/>
      <w:sz w:val="32"/>
    </w:rPr>
  </w:style>
  <w:style w:styleId="Heading5" w:type="paragraph">
    <w:name w:val="heading 5"/>
    <w:basedOn w:val="Normal"/>
    <w:next w:val="BodyText"/>
    <w:uiPriority w:val="9"/>
    <w:unhideWhenUsed/>
    <w:qFormat/>
    <w:rsid w:val="0074662F"/>
    <w:pPr>
      <w:keepNext/>
      <w:keepLines/>
      <w:pageBreakBefore/>
      <w:spacing w:after="0" w:before="200"/>
      <w:outlineLvl w:val="4"/>
    </w:pPr>
    <w:rPr>
      <w:rFonts w:asciiTheme="majorHAnsi" w:cstheme="majorBidi" w:eastAsiaTheme="majorEastAsia" w:hAnsiTheme="majorHAnsi"/>
      <w:i/>
      <w:iCs/>
      <w:color w:themeColor="background1" w:val="FFFFFF"/>
      <w:sz w:val="10"/>
    </w:rPr>
  </w:style>
  <w:style w:styleId="Heading6" w:type="paragraph">
    <w:name w:val="heading 6"/>
    <w:basedOn w:val="Normal"/>
    <w:next w:val="BodyText"/>
    <w:uiPriority w:val="9"/>
    <w:unhideWhenUsed/>
    <w:qFormat/>
    <w:rsid w:val="000E7DF5"/>
    <w:pPr>
      <w:keepNext/>
      <w:keepLines/>
      <w:spacing w:after="0" w:before="200"/>
      <w:jc w:val="center"/>
      <w:outlineLvl w:val="5"/>
    </w:pPr>
    <w:rPr>
      <w:rFonts w:ascii="Times New Roman" w:cstheme="majorBidi" w:eastAsiaTheme="majorEastAsia" w:hAnsi="Times New Roman"/>
      <w:color w:themeColor="text1" w:val="000000"/>
      <w:sz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122AB"/>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F5E62"/>
    <w:pPr>
      <w:spacing w:after="180" w:before="180" w:line="480" w:lineRule="auto"/>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D10C6"/>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921965"/>
    <w:rPr>
      <w:rFonts w:ascii="Times New Roman" w:hAnsi="Times New Roman"/>
    </w:rPr>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F5E62"/>
    <w:rPr>
      <w:rFonts w:ascii="Times New Roman" w:hAnsi="Times New Roman"/>
    </w:rPr>
  </w:style>
  <w:style w:styleId="LineNumber" w:type="character">
    <w:name w:val="line number"/>
    <w:basedOn w:val="DefaultParagraphFont"/>
    <w:semiHidden/>
    <w:unhideWhenUsed/>
    <w:rsid w:val="008E79E4"/>
  </w:style>
  <w:style w:styleId="TableGrid" w:type="table">
    <w:name w:val="Table Grid"/>
    <w:aliases w:val="Table Paper"/>
    <w:basedOn w:val="TableNormal"/>
    <w:rsid w:val="00C91552"/>
    <w:pPr>
      <w:spacing w:after="0"/>
    </w:pPr>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A" w:type="table">
    <w:name w:val="TableA"/>
    <w:basedOn w:val="TableGrid"/>
    <w:uiPriority w:val="99"/>
    <w:rsid w:val="00FD1322"/>
    <w:rPr>
      <w:rFonts w:cs="Times New Roman (Body CS)"/>
    </w:rPr>
    <w:tblPr/>
  </w:style>
  <w:style w:styleId="PlainTable1" w:type="table">
    <w:name w:val="Plain Table 1"/>
    <w:basedOn w:val="TableNormal"/>
    <w:rsid w:val="00921965"/>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 w:type="table">
    <w:name w:val="Grid Table 2"/>
    <w:basedOn w:val="TableNormal"/>
    <w:rsid w:val="00921965"/>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mailto:kelly.clint@uqam.ca" TargetMode="External" /></Relationships>
</file>

<file path=word/_rels/footnotes.xml.rels><?xml version="1.0" encoding="UTF-8"?><Relationships xmlns="http://schemas.openxmlformats.org/package/2006/relationships"><Relationship Type="http://schemas.openxmlformats.org/officeDocument/2006/relationships/hyperlink" Id="rId20" Target="mailto:kelly.clint@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83</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dcterms:created xsi:type="dcterms:W3CDTF">2024-11-11T21:44:19Z</dcterms:created>
  <dcterms:modified xsi:type="dcterms:W3CDTF">2024-11-11T21:44:19Z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