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B037" w14:textId="77777777" w:rsidR="002D505D" w:rsidRDefault="00941FD4">
      <w:pPr>
        <w:pStyle w:val="Heading1"/>
      </w:pPr>
      <w:bookmarkStart w:id="0" w:name="abstract"/>
      <w:r>
        <w:t>Abstract</w:t>
      </w:r>
    </w:p>
    <w:p w14:paraId="79A9ECEB" w14:textId="77777777" w:rsidR="002D505D" w:rsidRDefault="00941FD4">
      <w:pPr>
        <w:numPr>
          <w:ilvl w:val="0"/>
          <w:numId w:val="15"/>
        </w:numPr>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w:t>
      </w:r>
    </w:p>
    <w:p w14:paraId="06F2E365" w14:textId="77777777" w:rsidR="002D505D" w:rsidRDefault="00941FD4">
      <w:pPr>
        <w:numPr>
          <w:ilvl w:val="0"/>
          <w:numId w:val="15"/>
        </w:numPr>
      </w:pPr>
      <w:r>
        <w:t>I addressed this issue using a multivariate mixed model to decompose the phenotypic correlation between egg number and size in wild-caught European earwigs (</w:t>
      </w:r>
      <w:r>
        <w:rPr>
          <w:i/>
          <w:iCs/>
        </w:rPr>
        <w:t>Forficula auricularia</w:t>
      </w:r>
      <w:r>
        <w:t>) into among-female and within-female (residual) components.</w:t>
      </w:r>
    </w:p>
    <w:p w14:paraId="2F0A3C16" w14:textId="77777777" w:rsidR="002D505D" w:rsidRDefault="00941FD4">
      <w:pPr>
        <w:numPr>
          <w:ilvl w:val="0"/>
          <w:numId w:val="15"/>
        </w:numPr>
      </w:pPr>
      <w:r>
        <w:t>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w:t>
      </w:r>
      <w:r>
        <w:t>erage variation in egg size among females is similar across clutches.</w:t>
      </w:r>
    </w:p>
    <w:p w14:paraId="36AFD9C8" w14:textId="77777777" w:rsidR="002D505D" w:rsidRDefault="00941FD4">
      <w:pPr>
        <w:numPr>
          <w:ilvl w:val="0"/>
          <w:numId w:val="15"/>
        </w:numPr>
      </w:pPr>
      <w:r>
        <w:t xml:space="preserve">Further research is needed to clarify the proximate reasons for the tendency of second clutches to have fewer and smaller eggs than first clutches, as well as to identify the proximate and ultimate causes of the greater variation in egg size in second clutches. </w:t>
      </w:r>
    </w:p>
    <w:p w14:paraId="13429391" w14:textId="77777777" w:rsidR="002D505D" w:rsidRDefault="00941FD4">
      <w:pPr>
        <w:pStyle w:val="Heading1"/>
      </w:pPr>
      <w:bookmarkStart w:id="1" w:name="introduction"/>
      <w:bookmarkEnd w:id="0"/>
      <w:r>
        <w:t>Introduction</w:t>
      </w:r>
    </w:p>
    <w:p w14:paraId="7C23E735" w14:textId="77777777" w:rsidR="002D505D" w:rsidRDefault="00941FD4">
      <w:pPr>
        <w:pStyle w:val="FirstParagraph"/>
      </w:pPr>
      <w:r>
        <w:t xml:space="preserve">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(Fox &amp; Czesak, 2000; Roff, 1992; Smith &amp; Fretwell, 1974; see also Parker, 1982). However, these traits do not always trade off against each other (Bernardo, 1996; Cavaleiro &amp; Santos, 2014; Fox </w:t>
      </w:r>
      <w:r>
        <w:t xml:space="preserve">&amp; Czesak, 2000; Hargitai et al., 2005; Roff, 1992; Stearns, 1992). Or at least, they do not appear to trade off. Positive correlations between traits that should otherwise covary negatively could be due to how individuals acquire resources and subsequently allocate them among competing traits </w:t>
      </w:r>
      <w:r>
        <w:lastRenderedPageBreak/>
        <w:t>(Reznick et al., 2000). Van Noordwijk and DeJong (1986; see also Reznick et al., 2000) explained that whether we observe positive or negative correlations between fitness-related traits (e.g., egg number or egg size) d</w:t>
      </w:r>
      <w:r>
        <w:t>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w:t>
      </w:r>
      <w:r>
        <w:t>ategy. This means that females that acquire more reproductive resources can produce more and larger eggs, but must nevertheless trade off size and number.</w:t>
      </w:r>
    </w:p>
    <w:p w14:paraId="0869CBAD" w14:textId="77777777" w:rsidR="002D505D" w:rsidRDefault="00941FD4">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within-individual correlations. To my knowledge, no study has ye</w:t>
      </w:r>
      <w:r>
        <w:t>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single clutch of eggs in a subterranean burrow within a short period of time (i.e. hours) (Meunier, 2024). Females ca</w:t>
      </w:r>
      <w:r>
        <w:t xml:space="preserve">re for eggs and the nymphs for up to 2 weeks post-hatching (Meunier, 2024; Staerkle &amp; Kölliker, 2008). Earwigs in Quebec, Canada, are semelparous because the harsh environmental conditions extend the incubation and egg-care period beyond the point at </w:t>
      </w:r>
      <w:r>
        <w:lastRenderedPageBreak/>
        <w:t>which a second clutch is possible (Tourneur, 2018). However, females can be induced to lay a second clutch under optimal laboratory conditions. I use this system to test the prediction that if resource allocation to clutches is greater among than within individ</w:t>
      </w:r>
      <w:r>
        <w:t>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&amp; Fretwell, 1974). If so, one trait should not differ between clutches (e.g., egg number), whereas the other (e.g., egg size) is</w:t>
      </w:r>
      <w:r>
        <w:t xml:space="preserve"> adjusted accordingly (Winkler &amp;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5DB76338" w14:textId="77777777" w:rsidR="002D505D" w:rsidRDefault="00941FD4">
      <w:pPr>
        <w:pStyle w:val="Heading1"/>
      </w:pPr>
      <w:bookmarkStart w:id="2" w:name="methods"/>
      <w:bookmarkEnd w:id="1"/>
      <w:r>
        <w:t>Methods</w:t>
      </w:r>
    </w:p>
    <w:p w14:paraId="5F663E19" w14:textId="77777777" w:rsidR="002D505D" w:rsidRDefault="00941FD4">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70692E5B" w14:textId="77777777" w:rsidR="002D505D" w:rsidRDefault="00941FD4">
      <w:pPr>
        <w:pStyle w:val="BodyText"/>
      </w:pPr>
      <w:r>
        <w:t xml:space="preserve">Females were checked daily for oviposition. When a female laid eggs, I recorded the date and collected all eggs from the sand and placed them on filter paper in a new Petri dish. The eggs </w:t>
      </w:r>
      <w:r>
        <w:lastRenderedPageBreak/>
        <w:t>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0E243AC5" w14:textId="77777777" w:rsidR="002D505D" w:rsidRDefault="00941FD4">
      <w:pPr>
        <w:pStyle w:val="BodyText"/>
      </w:pPr>
      <w:r>
        <w:t>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w:t>
      </w:r>
      <w:r>
        <w:t>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w:t>
      </w:r>
      <w:r>
        <w:t>reezing after laying their second clutch, and their pronotum was photographed as described 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w:t>
      </w:r>
      <w:r>
        <w:t>d by 4 days.</w:t>
      </w:r>
    </w:p>
    <w:p w14:paraId="1EEF45A6" w14:textId="77777777" w:rsidR="002D505D" w:rsidRDefault="00941FD4">
      <w:pPr>
        <w:pStyle w:val="Heading3"/>
      </w:pPr>
      <w:bookmarkStart w:id="3" w:name="statistical-analysis"/>
      <w:r>
        <w:t>Statistical analysis</w:t>
      </w:r>
    </w:p>
    <w:p w14:paraId="5C4FBFFA" w14:textId="77777777" w:rsidR="002D505D" w:rsidRDefault="00941FD4">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w:t>
      </w:r>
      <w:r>
        <w:lastRenderedPageBreak/>
        <w:t xml:space="preserve">the response variable, female ID as a random effect, and assumed a Gaussian distribution. Each analysis was based on 1000 bootstrap samples. Because the measurements of my three traits were highly repeatable (pronotum length: </w:t>
      </w:r>
      <w:r>
        <w:rPr>
          <w:i/>
          <w:iCs/>
        </w:rPr>
        <w:t>R</w:t>
      </w:r>
      <w:r>
        <w:t xml:space="preserve"> [95% CI] = 0.98 [0.97, 0.99]; body mass: </w:t>
      </w:r>
      <w:r>
        <w:rPr>
          <w:i/>
          <w:iCs/>
        </w:rPr>
        <w:t>R</w:t>
      </w:r>
      <w:r>
        <w:t xml:space="preserve"> [95% CI] = 0.99 [0.988, 0.996]; egg perimeter in the first brood: </w:t>
      </w:r>
      <w:r>
        <w:rPr>
          <w:i/>
          <w:iCs/>
        </w:rPr>
        <w:t>R</w:t>
      </w:r>
      <w:r>
        <w:t xml:space="preserve"> [95% CI] = 0.977 [0.976, 0.979] and in the second brood: </w:t>
      </w:r>
      <w:r>
        <w:rPr>
          <w:i/>
          <w:iCs/>
        </w:rPr>
        <w:t>R</w:t>
      </w:r>
      <w:r>
        <w:t xml:space="preserve"> [95% CI] = 0.93 [0.926, 0.937] ). I used each fema</w:t>
      </w:r>
      <w:r>
        <w:t>le’s mean value for each trait in all subsequent analyses.</w:t>
      </w:r>
    </w:p>
    <w:p w14:paraId="7A84CF61" w14:textId="77777777" w:rsidR="002D505D" w:rsidRDefault="00941FD4">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5414BC37" w14:textId="77777777" w:rsidR="002D505D" w:rsidRDefault="00941FD4">
      <w:pPr>
        <w:pStyle w:val="BodyText"/>
      </w:pPr>
      <w:r>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scaled m</w:t>
      </w:r>
      <w:r>
        <w:t xml:space="preserve">ass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three models, each with a different measure, and </w:t>
      </w:r>
      <w:r>
        <w:lastRenderedPageBreak/>
        <w:t xml:space="preserve">then comparing them, in addition to a null model without a size </w:t>
      </w:r>
      <w:r>
        <w:t>measure,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 I report the among- (</w:t>
      </w:r>
      <w:r>
        <w:rPr>
          <w:i/>
          <w:iCs/>
        </w:rPr>
        <w:t>r</w:t>
      </w:r>
      <w:r>
        <w:rPr>
          <w:vertAlign w:val="subscript"/>
        </w:rPr>
        <w:t>among</w:t>
      </w:r>
      <w:r>
        <w:t xml:space="preserve">) and within- (residual, </w:t>
      </w:r>
      <w:r>
        <w:rPr>
          <w:i/>
          <w:iCs/>
        </w:rPr>
        <w:t>r</w:t>
      </w:r>
      <w:r>
        <w:rPr>
          <w:vertAlign w:val="subscript"/>
        </w:rPr>
        <w:t>within</w:t>
      </w:r>
      <w:r>
        <w:t>) female correlations and associated 95% credible intervals (CrIs) from the model and sum these two values to estimate the phenotypic correlatio</w:t>
      </w:r>
      <w:r>
        <w:t>n (</w:t>
      </w:r>
      <w:r>
        <w:rPr>
          <w:i/>
          <w:iCs/>
        </w:rPr>
        <w:t>r</w:t>
      </w:r>
      <w:r>
        <w:rPr>
          <w:vertAlign w:val="subscript"/>
        </w:rPr>
        <w:t>p</w:t>
      </w:r>
      <w:r>
        <w:t>) and its associated 95% CrI.</w:t>
      </w:r>
    </w:p>
    <w:p w14:paraId="3A856D1C" w14:textId="77777777" w:rsidR="002D505D" w:rsidRDefault="00941FD4">
      <w:pPr>
        <w:pStyle w:val="BodyText"/>
      </w:pPr>
      <w:r>
        <w:t>I examined whether the first and second clutches of eggs differed in egg size variation among (</w:t>
      </w:r>
      <w:r>
        <w:rPr>
          <w:i/>
          <w:iCs/>
        </w:rPr>
        <w:t>V</w:t>
      </w:r>
      <w:r>
        <w:rPr>
          <w:vertAlign w:val="subscript"/>
        </w:rPr>
        <w:t>among</w:t>
      </w:r>
      <w:r>
        <w:t>) and within (</w:t>
      </w:r>
      <w:r>
        <w:rPr>
          <w:i/>
          <w:iCs/>
        </w:rPr>
        <w:t>V</w:t>
      </w:r>
      <w:r>
        <w:rPr>
          <w:vertAlign w:val="subscript"/>
        </w:rPr>
        <w:t>within</w:t>
      </w:r>
      <w:r>
        <w:t>) females by constructing a univariate hierarchical linear mixed-effects 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w:t>
      </w:r>
      <w:r>
        <w:t>d whether the first and second clutch differed in egg size at the among- and within-female levels.</w:t>
      </w:r>
    </w:p>
    <w:p w14:paraId="2BB7B0ED" w14:textId="77777777" w:rsidR="002D505D" w:rsidRDefault="00941FD4">
      <w:pPr>
        <w:pStyle w:val="BodyText"/>
      </w:pPr>
      <w:r>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w:t>
      </w:r>
      <w:r>
        <w:t xml:space="preserve"> with low among-chain variability (Rhat = 1.00). I report posterior means with 95% credible intervals (CrIs) for all parameter estimates, where inference was based on CrIs that did not include zero.</w:t>
      </w:r>
    </w:p>
    <w:p w14:paraId="410B4133" w14:textId="77777777" w:rsidR="002D505D" w:rsidRDefault="00941FD4">
      <w:pPr>
        <w:pStyle w:val="Heading1"/>
      </w:pPr>
      <w:bookmarkStart w:id="4" w:name="results"/>
      <w:bookmarkEnd w:id="2"/>
      <w:bookmarkEnd w:id="3"/>
      <w:r>
        <w:lastRenderedPageBreak/>
        <w:t>Results</w:t>
      </w:r>
    </w:p>
    <w:p w14:paraId="67D117D8" w14:textId="77777777" w:rsidR="002D505D" w:rsidRDefault="00941FD4">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sidR="002D505D">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5B8C9CE6" w14:textId="77777777" w:rsidR="002D505D" w:rsidRDefault="00941FD4">
      <w:pPr>
        <w:pStyle w:val="BodyText"/>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Pr>
          <w:i/>
          <w:iCs/>
        </w:rPr>
        <w:t>R</w:t>
      </w:r>
      <w:r>
        <w:t xml:space="preserve"> [95% CI] = 0.40 [0.21, 0.57]) while clu</w:t>
      </w:r>
      <w:r>
        <w:t>tch size did not (</w:t>
      </w:r>
      <w:r>
        <w:rPr>
          <w:i/>
          <w:iCs/>
        </w:rPr>
        <w:t>R</w:t>
      </w:r>
      <w:r>
        <w:t xml:space="preserve"> = 0.03 [0.0, 0.32]).###</w:t>
      </w:r>
    </w:p>
    <w:p w14:paraId="3C6BFED1" w14:textId="77777777" w:rsidR="002D505D" w:rsidRDefault="00941FD4">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sidR="002D505D">
          <w:rPr>
            <w:rStyle w:val="Hyperlink"/>
          </w:rPr>
          <w:t>Figure 2</w:t>
        </w:r>
      </w:hyperlink>
      <w:r>
        <w:t>) but within-clutch egg size variation 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sidR="002D505D">
          <w:rPr>
            <w:rStyle w:val="Hyperlink"/>
          </w:rPr>
          <w:t>Figure 2</w:t>
        </w:r>
      </w:hyperlink>
      <w:r>
        <w:t>). Within-clutch egg size variation (i.e. standard deviation of egg size per clutch) was related to clutch size in first (</w:t>
      </w:r>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61B7AE9" w14:textId="77777777" w:rsidR="002D505D" w:rsidRDefault="00941FD4">
      <w:pPr>
        <w:pStyle w:val="Heading1"/>
      </w:pPr>
      <w:bookmarkStart w:id="5" w:name="discussion"/>
      <w:bookmarkEnd w:id="4"/>
      <w:r>
        <w:lastRenderedPageBreak/>
        <w:t>Discussion</w:t>
      </w:r>
    </w:p>
    <w:p w14:paraId="3746EE19" w14:textId="77777777" w:rsidR="002D505D" w:rsidRDefault="00941FD4">
      <w:pPr>
        <w:pStyle w:val="FirstParagraph"/>
      </w:pPr>
      <w:r>
        <w:t>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&amp; Meunier, 2014), it is the first, to my knowledge, to partition the phenotypic correlation between egg number and size into its among- and within-individual components. Although many studies have supported th</w:t>
      </w:r>
      <w:r>
        <w:t xml:space="preserve">e prediction that egg number and size trade off, some have not (Fox &amp; Czesak, 2000; Roff, 1992).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w:t>
      </w:r>
      <w:r>
        <w:rPr>
          <w:i/>
          <w:iCs/>
        </w:rPr>
        <w:t>a</w:t>
      </w:r>
      <w:r>
        <w:t>,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(Simpson, 1951) and spurious correlations because within-individual relationships are masked by among-individual variation. Indeed, I also observed a negative, albeit wea</w:t>
      </w:r>
      <w:r>
        <w:t>ker, correlation at the phenotypic level. However, by partitioning the variance into its among- and within-individual components, I found that females do not make the predicted trade-off. Rather, I found evidence that egg number and size are positively correlated within females.</w:t>
      </w:r>
    </w:p>
    <w:p w14:paraId="37290A6D" w14:textId="77777777" w:rsidR="002D505D" w:rsidRDefault="00941FD4">
      <w:pPr>
        <w:pStyle w:val="BodyText"/>
      </w:pPr>
      <w:r>
        <w:t xml:space="preserve">My study revealed that second clutches comprised, on average, fewer and smaller eggs than first clutches, which can be explained at both the proximate and ultimate levels of causation. My findings are consistent with those of another study on a Montreal population (Tourneur &amp; </w:t>
      </w:r>
      <w:r>
        <w:lastRenderedPageBreak/>
        <w:t xml:space="preserve">Gingras, 1992) and with one involving an Italian population (Koch &amp; Meunier, 2014). Tourneur and Gingras (1992) proximally attributed the fewer, smaller eggs in second clutches to ovarian structure and function in </w:t>
      </w:r>
      <w:r>
        <w:rPr>
          <w:i/>
          <w:iCs/>
        </w:rPr>
        <w:t>F. auricularia</w:t>
      </w:r>
      <w:r>
        <w:t>. Specifically, they suggested that second clutches are smaller than first ones because some (or all) oviarioles become non-functional and thus produce no eggs after the first clutch. This reduction in ovariole number might explain the smaller second clutches that I observed here, bu</w:t>
      </w:r>
      <w:r>
        <w:t>t why did females not produce larger eggs and thus exhibit the expected number-size trade-off? One possibility is that females had a 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w:t>
      </w:r>
      <w:r>
        <w:t>e, by partitioning their fewer resources equally to each functional ovariole during their second bout of oogenesis, females produced fewer and smaller eggs than in their first clutches. This proximate explanation assumes that females use a resource-allocation strategy for eggs that does not vary across their clutches.</w:t>
      </w:r>
    </w:p>
    <w:p w14:paraId="3C81CD2B" w14:textId="77777777" w:rsidR="002D505D" w:rsidRDefault="00941FD4">
      <w:pPr>
        <w:pStyle w:val="BodyText"/>
      </w:pPr>
      <w:r>
        <w:t>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&amp; De Bernardi, 2009; reptiles: Nelson et al., 2004; fish: Einum &amp; Fleming, 2000). Although this does not appear to be the typical case in insects (Church et al., 2019), larger eggs are more likely to hatc</w:t>
      </w:r>
      <w:r>
        <w:t xml:space="preserve">h and to produce larger nymphs in </w:t>
      </w:r>
      <w:r>
        <w:rPr>
          <w:i/>
          <w:iCs/>
        </w:rPr>
        <w:t>F. auricularia</w:t>
      </w:r>
      <w:r>
        <w:t xml:space="preserve"> (Koch &amp; Meunier, 2014), so egg size appears to ultimately have some positive fitness effects for the mother and offspring in this species. Therefore, the smaller earwig eggs in the second clutch by female </w:t>
      </w:r>
      <w:r>
        <w:rPr>
          <w:i/>
          <w:iCs/>
        </w:rPr>
        <w:t>F. auricularia</w:t>
      </w:r>
      <w:r>
        <w:t xml:space="preserve"> might have reduced fitness, except for two </w:t>
      </w:r>
      <w:r>
        <w:lastRenderedPageBreak/>
        <w:t>extenuating factors. First, maternal care in this species likely improves the survival chances of smaller eggs (e.g., Boos et al., 2014; Kölliker, 2007), and the poor outcomes commonly associated with</w:t>
      </w:r>
      <w:r>
        <w:t xml:space="preserve"> smaller nymphs might be mitigated by maternal provisioning (Staerkle &amp;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optimal time in spring. Empirical evidence, however, suggests </w:t>
      </w:r>
      <w:r>
        <w:t xml:space="preserve">that time-to-hatch is unrelated to egg mass in at least one (Italian) population of </w:t>
      </w:r>
      <w:r>
        <w:rPr>
          <w:i/>
          <w:iCs/>
        </w:rPr>
        <w:t>F. auricularia</w:t>
      </w:r>
      <w:r>
        <w:t xml:space="preserve"> (Koch &amp; Meunier, 2014).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between clutch and egg size suggests that variance in reso</w:t>
      </w:r>
      <w:r>
        <w:t>urce allocation may exceed variance in resource acquisition in this population of earwigs (see Careau &amp; Wilson, 2017). In other words, some female earwigs in my study population might prioritise investment in egg number versus egg size and vice versa. Taken together, my results resemble Careau and Wilson’s (2017) “sink or swim” scenario, which is generally reserved for performance trade-offs. That is, females in my population of earwigs might ultimately produce an among-female (albeit weak) trade-off due to</w:t>
      </w:r>
      <w:r>
        <w:t xml:space="preserve"> differences among females in how they allocate resources to clutch and egg size, with some females prioritising egg number over size, while also producing a positive residual correlation due to a combination of ovary (dis)function, and the equal apportionment of fewer resources to eggs. Further research is needed to identify the proximate mechanisms underlying the observed multilevel correlation patterns.</w:t>
      </w:r>
    </w:p>
    <w:p w14:paraId="5AA8AEBB" w14:textId="77777777" w:rsidR="002D505D" w:rsidRDefault="00941FD4">
      <w:pPr>
        <w:pStyle w:val="BodyText"/>
      </w:pPr>
      <w:r>
        <w:lastRenderedPageBreak/>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&amp; MacKay, 1996). 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(Harvey, 1983). Moreover, the lack of between-female variation in average egg size between first and second clutches suggests that the food-acquisition environment (i.e. wild vs. lab) had little effect on average egg size.</w:t>
      </w:r>
    </w:p>
    <w:p w14:paraId="14441A0C" w14:textId="77777777" w:rsidR="002D505D" w:rsidRDefault="00941FD4">
      <w:pPr>
        <w:pStyle w:val="BodyText"/>
      </w:pPr>
      <w:r>
        <w:t>In contrast, I found evidence that variation in egg size within a clutch was greater in second clutches than in first clutches, the opposite of the pattern observed in birds. (e.g., Yosef &amp; Zduniak, 2008).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(Yosef &amp; Zduniak, 2008), collared flycatchers (</w:t>
      </w:r>
      <w:r>
        <w:rPr>
          <w:i/>
          <w:iCs/>
        </w:rPr>
        <w:t>Ficedula albicollis</w:t>
      </w:r>
      <w:r>
        <w:t>) produced larger eggs with the laying sequence in favourable conditions (Hargitai et al., 2005), and blue tits (</w:t>
      </w:r>
      <w:r>
        <w:rPr>
          <w:i/>
          <w:iCs/>
        </w:rPr>
        <w:t>Paris caeruleus</w:t>
      </w:r>
      <w:r>
        <w:t>) in better nutritional condition had clutches with less variation in egg size (Nilsson &amp; Svensson, 1993). Although information on intraclutch egg-size variation and its proximal drivers is scarce in insects, the same principle</w:t>
      </w:r>
      <w:r>
        <w:t xml:space="preserve">s may apply, given that female earwigs in my study had less time to accumulate resources and maximise their body condition 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w:t>
      </w:r>
      <w:r>
        <w:lastRenderedPageBreak/>
        <w:t>are consistent across eggs within a clutch. In second clutches, by contrast, females might have</w:t>
      </w:r>
      <w:r>
        <w:t xml:space="preser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w:t>
      </w:r>
      <w:r>
        <w:t>ereas smaller eggs later in the laying sequence may be a brood-reduction strategy (Slagsvold et al., 1984). However, it is unknown whether variation in egg size has an equivalent adaptive function in insects expressing maternal care.</w:t>
      </w:r>
    </w:p>
    <w:p w14:paraId="13A7F73C" w14:textId="77777777" w:rsidR="002D505D" w:rsidRDefault="00941FD4">
      <w:pPr>
        <w:pStyle w:val="BodyText"/>
      </w:pPr>
      <w:r>
        <w:t>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a more variable size than first clutches, but the among-female variation in average egg size was similar between the two clutches.</w:t>
      </w:r>
    </w:p>
    <w:p w14:paraId="5E53FF7E" w14:textId="77777777" w:rsidR="002D505D" w:rsidRDefault="00941FD4">
      <w:bookmarkStart w:id="6" w:name="acknowledgements"/>
      <w:bookmarkEnd w:id="5"/>
      <w:r>
        <w:br w:type="page"/>
      </w:r>
    </w:p>
    <w:p w14:paraId="577D638E" w14:textId="77777777" w:rsidR="002D505D" w:rsidRDefault="00941FD4">
      <w:pPr>
        <w:pStyle w:val="Heading1"/>
      </w:pPr>
      <w:bookmarkStart w:id="7" w:name="references"/>
      <w:bookmarkEnd w:id="6"/>
      <w:r>
        <w:lastRenderedPageBreak/>
        <w:t>References</w:t>
      </w:r>
    </w:p>
    <w:p w14:paraId="0061362D" w14:textId="77777777" w:rsidR="002D505D" w:rsidRDefault="00941FD4">
      <w:pPr>
        <w:pStyle w:val="Bibliography"/>
      </w:pPr>
      <w:bookmarkStart w:id="8" w:name="ref-bernardo1996"/>
      <w:bookmarkStart w:id="9" w:name="refs"/>
      <w:r>
        <w:t xml:space="preserve">Bernardo, J. (1996). The particular maternal effect of propagule size, especially egg size: Patterns, models, quality of evidence and interpretations. </w:t>
      </w:r>
      <w:r>
        <w:rPr>
          <w:i/>
          <w:iCs/>
        </w:rPr>
        <w:t>Am Zool</w:t>
      </w:r>
      <w:r>
        <w:t xml:space="preserve">, </w:t>
      </w:r>
      <w:r>
        <w:rPr>
          <w:i/>
          <w:iCs/>
        </w:rPr>
        <w:t>36</w:t>
      </w:r>
      <w:r>
        <w:t>(2), 216–236.</w:t>
      </w:r>
    </w:p>
    <w:p w14:paraId="2C680BEE" w14:textId="77777777" w:rsidR="002D505D" w:rsidRDefault="00941FD4">
      <w:pPr>
        <w:pStyle w:val="Bibliography"/>
      </w:pPr>
      <w:bookmarkStart w:id="10" w:name="ref-boos2014"/>
      <w:bookmarkEnd w:id="8"/>
      <w:r>
        <w:t xml:space="preserve">Boos, S., Meunier, J., Pichon, S., &amp; Kölliker, M. (2014). Maternal care provides antifungal protection to eggs in the european earwig. </w:t>
      </w:r>
      <w:r>
        <w:rPr>
          <w:i/>
          <w:iCs/>
        </w:rPr>
        <w:t>Behav Ecol</w:t>
      </w:r>
      <w:r>
        <w:t xml:space="preserve">, </w:t>
      </w:r>
      <w:r>
        <w:rPr>
          <w:i/>
          <w:iCs/>
        </w:rPr>
        <w:t>25</w:t>
      </w:r>
      <w:r>
        <w:t>(4), 754–761.</w:t>
      </w:r>
    </w:p>
    <w:p w14:paraId="2E9E6A0D" w14:textId="77777777" w:rsidR="002D505D" w:rsidRDefault="00941FD4">
      <w:pPr>
        <w:pStyle w:val="Bibliography"/>
      </w:pPr>
      <w:bookmarkStart w:id="11" w:name="ref-burkner2017"/>
      <w:bookmarkEnd w:id="10"/>
      <w:r>
        <w:t xml:space="preserve">Bürkner, P.-C. (2017). brms: An R package for Bayesian multilevel models using Stan. </w:t>
      </w:r>
      <w:r>
        <w:rPr>
          <w:i/>
          <w:iCs/>
        </w:rPr>
        <w:t>Journal of Statistical Software</w:t>
      </w:r>
      <w:r>
        <w:t xml:space="preserve">, </w:t>
      </w:r>
      <w:r>
        <w:rPr>
          <w:i/>
          <w:iCs/>
        </w:rPr>
        <w:t>80</w:t>
      </w:r>
      <w:r>
        <w:t>(1), 4308.</w:t>
      </w:r>
    </w:p>
    <w:p w14:paraId="0E574C9E" w14:textId="77777777" w:rsidR="002D505D" w:rsidRDefault="00941FD4">
      <w:pPr>
        <w:pStyle w:val="Bibliography"/>
      </w:pPr>
      <w:bookmarkStart w:id="12" w:name="ref-careau2017"/>
      <w:bookmarkEnd w:id="11"/>
      <w:r>
        <w:t xml:space="preserve">Careau, V., &amp; Wilson, R. (2017). Of uberfleas and krakens: Detecting trade-offs using mixed models. </w:t>
      </w:r>
      <w:r>
        <w:rPr>
          <w:i/>
          <w:iCs/>
        </w:rPr>
        <w:t>Integr Comp Biol</w:t>
      </w:r>
      <w:r>
        <w:t xml:space="preserve">, </w:t>
      </w:r>
      <w:r>
        <w:rPr>
          <w:i/>
          <w:iCs/>
        </w:rPr>
        <w:t>57</w:t>
      </w:r>
      <w:r>
        <w:t>(2), 362–371.</w:t>
      </w:r>
    </w:p>
    <w:p w14:paraId="4622FF59" w14:textId="77777777" w:rsidR="002D505D" w:rsidRDefault="00941FD4">
      <w:pPr>
        <w:pStyle w:val="Bibliography"/>
      </w:pPr>
      <w:bookmarkStart w:id="13" w:name="ref-cavaleiro2014"/>
      <w:bookmarkEnd w:id="12"/>
      <w:r>
        <w:t xml:space="preserve">Cavaleiro, F. I., &amp; Santos, M. J. (2014). Egg number-egg size: An important trade-off in parasite life history strategies. </w:t>
      </w:r>
      <w:r>
        <w:rPr>
          <w:i/>
          <w:iCs/>
        </w:rPr>
        <w:t>Int J Parasitol</w:t>
      </w:r>
      <w:r>
        <w:t xml:space="preserve">, </w:t>
      </w:r>
      <w:r>
        <w:rPr>
          <w:i/>
          <w:iCs/>
        </w:rPr>
        <w:t>44</w:t>
      </w:r>
      <w:r>
        <w:t>(3-4), 173–182.</w:t>
      </w:r>
    </w:p>
    <w:p w14:paraId="47AACAC7" w14:textId="77777777" w:rsidR="002D505D" w:rsidRDefault="00941FD4">
      <w:pPr>
        <w:pStyle w:val="Bibliography"/>
      </w:pPr>
      <w:bookmarkStart w:id="14" w:name="ref-church2019"/>
      <w:bookmarkEnd w:id="13"/>
      <w:r>
        <w:t xml:space="preserve">Church, S. H., Donoughe, S., Medeiros, B. A. S. de, &amp; Extavour, C. G. (2019). Insect egg size and shape evolve with ecology but not developmental rate. </w:t>
      </w:r>
      <w:r>
        <w:rPr>
          <w:i/>
          <w:iCs/>
        </w:rPr>
        <w:t>Nature</w:t>
      </w:r>
      <w:r>
        <w:t xml:space="preserve">, </w:t>
      </w:r>
      <w:r>
        <w:rPr>
          <w:i/>
          <w:iCs/>
        </w:rPr>
        <w:t>571</w:t>
      </w:r>
      <w:r>
        <w:t>(7763), 58–62.</w:t>
      </w:r>
    </w:p>
    <w:p w14:paraId="7E321F23" w14:textId="77777777" w:rsidR="002D505D" w:rsidRDefault="00941FD4">
      <w:pPr>
        <w:pStyle w:val="Bibliography"/>
      </w:pPr>
      <w:bookmarkStart w:id="15" w:name="ref-clutton-brock1984"/>
      <w:bookmarkEnd w:id="14"/>
      <w:r>
        <w:t xml:space="preserve">Clutton-Brock, T. H. (1984). Reproductive effort and terminal investment in iteroparous animals. </w:t>
      </w:r>
      <w:r>
        <w:rPr>
          <w:i/>
          <w:iCs/>
        </w:rPr>
        <w:t>Am Nat</w:t>
      </w:r>
      <w:r>
        <w:t xml:space="preserve">, </w:t>
      </w:r>
      <w:r>
        <w:rPr>
          <w:i/>
          <w:iCs/>
        </w:rPr>
        <w:t>123</w:t>
      </w:r>
      <w:r>
        <w:t>(2), 212–229.</w:t>
      </w:r>
    </w:p>
    <w:p w14:paraId="63E182AA" w14:textId="77777777" w:rsidR="002D505D" w:rsidRDefault="00941FD4">
      <w:pPr>
        <w:pStyle w:val="Bibliography"/>
      </w:pPr>
      <w:bookmarkStart w:id="16" w:name="ref-clutton-brock1991"/>
      <w:bookmarkEnd w:id="15"/>
      <w:r>
        <w:t xml:space="preserve">Clutton-Brock, T. H. (1991). </w:t>
      </w:r>
      <w:r>
        <w:rPr>
          <w:i/>
          <w:iCs/>
        </w:rPr>
        <w:t>The Evolution of Parental Care</w:t>
      </w:r>
      <w:r>
        <w:t xml:space="preserve"> (Vol. 10). Princeton University Press.</w:t>
      </w:r>
    </w:p>
    <w:p w14:paraId="5D5EA4D3" w14:textId="77777777" w:rsidR="002D505D" w:rsidRDefault="00941FD4">
      <w:pPr>
        <w:pStyle w:val="Bibliography"/>
      </w:pPr>
      <w:bookmarkStart w:id="17" w:name="ref-einum2000"/>
      <w:bookmarkEnd w:id="16"/>
      <w:r>
        <w:t xml:space="preserve">Einum, S., &amp; Fleming, I. A. (2000). Highly fecund mothers sacrifice offspring survival to maximize fitness. </w:t>
      </w:r>
      <w:r>
        <w:rPr>
          <w:i/>
          <w:iCs/>
        </w:rPr>
        <w:t>Nature</w:t>
      </w:r>
      <w:r>
        <w:t xml:space="preserve">, </w:t>
      </w:r>
      <w:r>
        <w:rPr>
          <w:i/>
          <w:iCs/>
        </w:rPr>
        <w:t>405</w:t>
      </w:r>
      <w:r>
        <w:t>(6786), 565–567.</w:t>
      </w:r>
    </w:p>
    <w:p w14:paraId="12E6102A" w14:textId="77777777" w:rsidR="002D505D" w:rsidRDefault="00941FD4">
      <w:pPr>
        <w:pStyle w:val="Bibliography"/>
      </w:pPr>
      <w:bookmarkStart w:id="18" w:name="ref-falconer1996"/>
      <w:bookmarkEnd w:id="17"/>
      <w:r>
        <w:t xml:space="preserve">Falconer, D. S., &amp; MacKay, T. F. C. (1996). </w:t>
      </w:r>
      <w:r>
        <w:rPr>
          <w:i/>
          <w:iCs/>
        </w:rPr>
        <w:t>An Introduction Quantitative Genetics</w:t>
      </w:r>
      <w:r>
        <w:t>. Pearson Education Limited.</w:t>
      </w:r>
    </w:p>
    <w:p w14:paraId="1F06E91C" w14:textId="77777777" w:rsidR="002D505D" w:rsidRDefault="00941FD4">
      <w:pPr>
        <w:pStyle w:val="Bibliography"/>
      </w:pPr>
      <w:bookmarkStart w:id="19" w:name="ref-ficetola2009"/>
      <w:bookmarkEnd w:id="18"/>
      <w:proofErr w:type="spellStart"/>
      <w:r w:rsidRPr="008768B8">
        <w:rPr>
          <w:lang w:val="fr-CA"/>
        </w:rPr>
        <w:t>Ficetola</w:t>
      </w:r>
      <w:proofErr w:type="spellEnd"/>
      <w:r w:rsidRPr="008768B8">
        <w:rPr>
          <w:lang w:val="fr-CA"/>
        </w:rPr>
        <w:t xml:space="preserve">, G. F., &amp; De Bernardi, F. (2009). </w:t>
      </w:r>
      <w:r>
        <w:t xml:space="preserve">Offspring size and survival in the frog rana latastei: From among-population to within-clutch variation. </w:t>
      </w:r>
      <w:r>
        <w:rPr>
          <w:i/>
          <w:iCs/>
        </w:rPr>
        <w:t>Biol J Linn Soc</w:t>
      </w:r>
      <w:r>
        <w:t xml:space="preserve">, </w:t>
      </w:r>
      <w:r>
        <w:rPr>
          <w:i/>
          <w:iCs/>
        </w:rPr>
        <w:t>97</w:t>
      </w:r>
      <w:r>
        <w:t>(4), 845–853.</w:t>
      </w:r>
    </w:p>
    <w:p w14:paraId="6729A672" w14:textId="77777777" w:rsidR="002D505D" w:rsidRDefault="00941FD4">
      <w:pPr>
        <w:pStyle w:val="Bibliography"/>
      </w:pPr>
      <w:bookmarkStart w:id="20" w:name="ref-fox2000"/>
      <w:bookmarkEnd w:id="19"/>
      <w:r>
        <w:t xml:space="preserve">Fox, C. W., &amp; Czesak, M. E. (2000). Evolutionary ecology of progeny size in arthropods. </w:t>
      </w:r>
      <w:r>
        <w:rPr>
          <w:i/>
          <w:iCs/>
        </w:rPr>
        <w:t>Annu Rev Entomol</w:t>
      </w:r>
      <w:r>
        <w:t xml:space="preserve">, </w:t>
      </w:r>
      <w:r>
        <w:rPr>
          <w:i/>
          <w:iCs/>
        </w:rPr>
        <w:t>45</w:t>
      </w:r>
      <w:r>
        <w:t>(1), 341–369.</w:t>
      </w:r>
    </w:p>
    <w:p w14:paraId="43E343FF" w14:textId="77777777" w:rsidR="002D505D" w:rsidRDefault="00941FD4">
      <w:pPr>
        <w:pStyle w:val="Bibliography"/>
      </w:pPr>
      <w:bookmarkStart w:id="21" w:name="ref-hargitai2005"/>
      <w:bookmarkEnd w:id="20"/>
      <w:r>
        <w:t xml:space="preserve">Hargitai, R., Török, J., Tóth, L., Hegyi, G., Rosivall, B., Szigeti, B., &amp; Szöllősi, E. (2005). Effects of environmental conditions and parental quality on inter-and intraclutch egg-size variation in the collared flycatcher (ficedula albicollis). </w:t>
      </w:r>
      <w:r>
        <w:rPr>
          <w:i/>
          <w:iCs/>
        </w:rPr>
        <w:t>The Auk</w:t>
      </w:r>
      <w:r>
        <w:t xml:space="preserve">, </w:t>
      </w:r>
      <w:r>
        <w:rPr>
          <w:i/>
          <w:iCs/>
        </w:rPr>
        <w:t>122</w:t>
      </w:r>
      <w:r>
        <w:t>(2), 509–522.</w:t>
      </w:r>
    </w:p>
    <w:p w14:paraId="00B46CA6" w14:textId="77777777" w:rsidR="002D505D" w:rsidRDefault="00941FD4">
      <w:pPr>
        <w:pStyle w:val="Bibliography"/>
      </w:pPr>
      <w:bookmarkStart w:id="22" w:name="ref-harvey1983"/>
      <w:bookmarkEnd w:id="21"/>
      <w:r>
        <w:t xml:space="preserve">Harvey, G. T. (1983). Environmental and genetic effects on mean egg weight in spruce budworm (lepidoptera: tortricidae). </w:t>
      </w:r>
      <w:r>
        <w:rPr>
          <w:i/>
          <w:iCs/>
        </w:rPr>
        <w:t>The Canadian Entomologist</w:t>
      </w:r>
      <w:r>
        <w:t xml:space="preserve">, </w:t>
      </w:r>
      <w:r>
        <w:rPr>
          <w:i/>
          <w:iCs/>
        </w:rPr>
        <w:t>115</w:t>
      </w:r>
      <w:r>
        <w:t>(9), 1109–1117.</w:t>
      </w:r>
    </w:p>
    <w:p w14:paraId="24B8DC12" w14:textId="77777777" w:rsidR="002D505D" w:rsidRDefault="00941FD4">
      <w:pPr>
        <w:pStyle w:val="Bibliography"/>
      </w:pPr>
      <w:bookmarkStart w:id="23" w:name="ref-honek1993"/>
      <w:bookmarkEnd w:id="22"/>
      <w:r>
        <w:t xml:space="preserve">Honek, A. (1993). Intraspecific variation in body size and fecundity in insects: A general relationship. </w:t>
      </w:r>
      <w:r>
        <w:rPr>
          <w:i/>
          <w:iCs/>
        </w:rPr>
        <w:t>Oikos</w:t>
      </w:r>
      <w:r>
        <w:t>, 483–492.</w:t>
      </w:r>
    </w:p>
    <w:p w14:paraId="62DF681E" w14:textId="77777777" w:rsidR="002D505D" w:rsidRDefault="00941FD4">
      <w:pPr>
        <w:pStyle w:val="Bibliography"/>
      </w:pPr>
      <w:bookmarkStart w:id="24" w:name="ref-kelly2014"/>
      <w:bookmarkEnd w:id="23"/>
      <w:r>
        <w:t xml:space="preserve">Kelly, C. D., Tawes, B., &amp; Worthington, A. (2014). Evaluating indices of body condition in two cricket species. </w:t>
      </w:r>
      <w:r>
        <w:rPr>
          <w:i/>
          <w:iCs/>
        </w:rPr>
        <w:t>Ecology and Evolution</w:t>
      </w:r>
      <w:r>
        <w:t xml:space="preserve">, </w:t>
      </w:r>
      <w:r>
        <w:rPr>
          <w:i/>
          <w:iCs/>
        </w:rPr>
        <w:t>4</w:t>
      </w:r>
      <w:r>
        <w:t>(23), 4476–4487.</w:t>
      </w:r>
    </w:p>
    <w:p w14:paraId="2FAA3A7A" w14:textId="77777777" w:rsidR="002D505D" w:rsidRDefault="00941FD4">
      <w:pPr>
        <w:pStyle w:val="Bibliography"/>
      </w:pPr>
      <w:bookmarkStart w:id="25" w:name="ref-koch2014"/>
      <w:bookmarkEnd w:id="24"/>
      <w:r>
        <w:lastRenderedPageBreak/>
        <w:t xml:space="preserve">Koch, L. K., &amp; Meunier, J. (2014). Mother and offspring fitness in an insect with maternal care: Phenotypic trade-offs between egg number, egg mass and egg care. </w:t>
      </w:r>
      <w:r>
        <w:rPr>
          <w:i/>
          <w:iCs/>
        </w:rPr>
        <w:t>BMC Evol Biol</w:t>
      </w:r>
      <w:r>
        <w:t xml:space="preserve">, </w:t>
      </w:r>
      <w:r>
        <w:rPr>
          <w:i/>
          <w:iCs/>
        </w:rPr>
        <w:t>14</w:t>
      </w:r>
      <w:r>
        <w:t>(1), 125.</w:t>
      </w:r>
    </w:p>
    <w:p w14:paraId="309227F3" w14:textId="77777777" w:rsidR="002D505D" w:rsidRDefault="00941FD4">
      <w:pPr>
        <w:pStyle w:val="Bibliography"/>
      </w:pPr>
      <w:bookmarkStart w:id="26" w:name="ref-kolliker2007"/>
      <w:bookmarkEnd w:id="25"/>
      <w:r>
        <w:t xml:space="preserve">Kölliker, M. (2007). Benefits and costs of earwig (forficula auricularia) family life. </w:t>
      </w:r>
      <w:r>
        <w:rPr>
          <w:i/>
          <w:iCs/>
        </w:rPr>
        <w:t>Behav Ecol Sociobiol</w:t>
      </w:r>
      <w:r>
        <w:t xml:space="preserve">, </w:t>
      </w:r>
      <w:r>
        <w:rPr>
          <w:i/>
          <w:iCs/>
        </w:rPr>
        <w:t>61</w:t>
      </w:r>
      <w:r>
        <w:t>(9), 1489–1497.</w:t>
      </w:r>
    </w:p>
    <w:p w14:paraId="72134FA5" w14:textId="77777777" w:rsidR="002D505D" w:rsidRDefault="00941FD4">
      <w:pPr>
        <w:pStyle w:val="Bibliography"/>
      </w:pPr>
      <w:bookmarkStart w:id="27" w:name="ref-meunier2024"/>
      <w:bookmarkEnd w:id="26"/>
      <w:r>
        <w:t xml:space="preserve">Meunier, J. (2024). The biology and social life of earwigs (dermaptera). </w:t>
      </w:r>
      <w:r>
        <w:rPr>
          <w:i/>
          <w:iCs/>
        </w:rPr>
        <w:t>Annu Rev Entomol</w:t>
      </w:r>
      <w:r>
        <w:t xml:space="preserve">, </w:t>
      </w:r>
      <w:r>
        <w:rPr>
          <w:i/>
          <w:iCs/>
        </w:rPr>
        <w:t>69</w:t>
      </w:r>
      <w:r>
        <w:t>(1), 259–276.</w:t>
      </w:r>
    </w:p>
    <w:p w14:paraId="69E359E3" w14:textId="77777777" w:rsidR="002D505D" w:rsidRDefault="00941FD4">
      <w:pPr>
        <w:pStyle w:val="Bibliography"/>
      </w:pPr>
      <w:bookmarkStart w:id="28" w:name="ref-nelson2004"/>
      <w:bookmarkEnd w:id="27"/>
      <w:r>
        <w:t xml:space="preserve">Nelson, N. J., Thompson, M. B., Pledger, S., Keall, S. N., &amp; Daugherty, C. H. (2004). Egg mass determines hatchling size, and incubation temperature influences post‐hatching growth, of tuatara sphenodon punctatus. </w:t>
      </w:r>
      <w:r>
        <w:rPr>
          <w:i/>
          <w:iCs/>
        </w:rPr>
        <w:t>J Zool</w:t>
      </w:r>
      <w:r>
        <w:t xml:space="preserve">, </w:t>
      </w:r>
      <w:r>
        <w:rPr>
          <w:i/>
          <w:iCs/>
        </w:rPr>
        <w:t>263</w:t>
      </w:r>
      <w:r>
        <w:t>(1), 77–87.</w:t>
      </w:r>
    </w:p>
    <w:p w14:paraId="51FC3759" w14:textId="77777777" w:rsidR="002D505D" w:rsidRDefault="00941FD4">
      <w:pPr>
        <w:pStyle w:val="Bibliography"/>
      </w:pPr>
      <w:bookmarkStart w:id="29" w:name="ref-nilsson1993"/>
      <w:bookmarkEnd w:id="28"/>
      <w:r>
        <w:t xml:space="preserve">Nilsson, J. ‐Å., &amp; Svensson, E. (1993). Causes and consequences of egg mass variation between and within blue tit clutches. </w:t>
      </w:r>
      <w:r>
        <w:rPr>
          <w:i/>
          <w:iCs/>
        </w:rPr>
        <w:t>J Zool</w:t>
      </w:r>
      <w:r>
        <w:t xml:space="preserve">, </w:t>
      </w:r>
      <w:r>
        <w:rPr>
          <w:i/>
          <w:iCs/>
        </w:rPr>
        <w:t>230</w:t>
      </w:r>
      <w:r>
        <w:t>(3), 469–481.</w:t>
      </w:r>
    </w:p>
    <w:p w14:paraId="53E44206" w14:textId="77777777" w:rsidR="002D505D" w:rsidRDefault="00941FD4">
      <w:pPr>
        <w:pStyle w:val="Bibliography"/>
      </w:pPr>
      <w:bookmarkStart w:id="30" w:name="ref-parker1982"/>
      <w:bookmarkEnd w:id="29"/>
      <w:r>
        <w:t xml:space="preserve">Parker, G. A. (1982). Why are there so many tiny sperm? Sperm competition and the maintenance of two sexes. </w:t>
      </w:r>
      <w:r>
        <w:rPr>
          <w:i/>
          <w:iCs/>
        </w:rPr>
        <w:t>J Theor Biol</w:t>
      </w:r>
      <w:r>
        <w:t xml:space="preserve">, </w:t>
      </w:r>
      <w:r>
        <w:rPr>
          <w:i/>
          <w:iCs/>
        </w:rPr>
        <w:t>96</w:t>
      </w:r>
      <w:r>
        <w:t>(2), 281–294.</w:t>
      </w:r>
    </w:p>
    <w:p w14:paraId="76C5C135" w14:textId="77777777" w:rsidR="002D505D" w:rsidRDefault="00941FD4">
      <w:pPr>
        <w:pStyle w:val="Bibliography"/>
      </w:pPr>
      <w:bookmarkStart w:id="31" w:name="ref-peig2009"/>
      <w:bookmarkEnd w:id="30"/>
      <w:r>
        <w:t xml:space="preserve">Peig, J., &amp; Green, A. J. (2009). New perspectives for estimating body condition from mass/length data: The scaled mass index as an alternative method. </w:t>
      </w:r>
      <w:r>
        <w:rPr>
          <w:i/>
          <w:iCs/>
        </w:rPr>
        <w:t>Oikos</w:t>
      </w:r>
      <w:r>
        <w:t xml:space="preserve">, </w:t>
      </w:r>
      <w:r>
        <w:rPr>
          <w:i/>
          <w:iCs/>
        </w:rPr>
        <w:t>118</w:t>
      </w:r>
      <w:r>
        <w:t>(12), 1883–1891.</w:t>
      </w:r>
    </w:p>
    <w:p w14:paraId="1B921713" w14:textId="77777777" w:rsidR="002D505D" w:rsidRDefault="00941FD4">
      <w:pPr>
        <w:pStyle w:val="Bibliography"/>
      </w:pPr>
      <w:bookmarkStart w:id="32" w:name="ref-peig2010"/>
      <w:bookmarkEnd w:id="31"/>
      <w:r>
        <w:t xml:space="preserve">Peig, J., &amp; Green, A. J. (2010). The paradigm of body condition: A critical reappraisal of current methods based on mass and length. </w:t>
      </w:r>
      <w:r>
        <w:rPr>
          <w:i/>
          <w:iCs/>
        </w:rPr>
        <w:t>Funct Ecol</w:t>
      </w:r>
      <w:r>
        <w:t xml:space="preserve">, </w:t>
      </w:r>
      <w:r>
        <w:rPr>
          <w:i/>
          <w:iCs/>
        </w:rPr>
        <w:t>24</w:t>
      </w:r>
      <w:r>
        <w:t>(6), 1323–1332.</w:t>
      </w:r>
    </w:p>
    <w:p w14:paraId="4E8C014D" w14:textId="77777777" w:rsidR="002D505D" w:rsidRDefault="00941FD4">
      <w:pPr>
        <w:pStyle w:val="Bibliography"/>
      </w:pPr>
      <w:bookmarkStart w:id="33" w:name="ref-r2013"/>
      <w:bookmarkEnd w:id="32"/>
      <w:r>
        <w:t xml:space="preserve">R Core Team. (2025). </w:t>
      </w:r>
      <w:r>
        <w:rPr>
          <w:i/>
          <w:iCs/>
        </w:rPr>
        <w:t>R: A language and environment for statistical computing</w:t>
      </w:r>
      <w:r>
        <w:t>.</w:t>
      </w:r>
    </w:p>
    <w:p w14:paraId="6C1AD929" w14:textId="77777777" w:rsidR="002D505D" w:rsidRDefault="00941FD4">
      <w:pPr>
        <w:pStyle w:val="Bibliography"/>
      </w:pPr>
      <w:bookmarkStart w:id="34" w:name="ref-reznick2000"/>
      <w:bookmarkEnd w:id="33"/>
      <w:r>
        <w:t xml:space="preserve">Reznick, D., Nunney, L., &amp; Tessier, A. (2000). Big houses, big cars, superfleas and the costs of reproduction. </w:t>
      </w:r>
      <w:r>
        <w:rPr>
          <w:i/>
          <w:iCs/>
        </w:rPr>
        <w:t>Trends Ecol Evol</w:t>
      </w:r>
      <w:r>
        <w:t xml:space="preserve">, </w:t>
      </w:r>
      <w:r>
        <w:rPr>
          <w:i/>
          <w:iCs/>
        </w:rPr>
        <w:t>15</w:t>
      </w:r>
      <w:r>
        <w:t>(10), 421–425.</w:t>
      </w:r>
    </w:p>
    <w:p w14:paraId="5D09F334" w14:textId="77777777" w:rsidR="002D505D" w:rsidRDefault="00941FD4">
      <w:pPr>
        <w:pStyle w:val="Bibliography"/>
      </w:pPr>
      <w:bookmarkStart w:id="35" w:name="ref-roff1992a"/>
      <w:bookmarkEnd w:id="34"/>
      <w:r>
        <w:t xml:space="preserve">Roff, D. (1992). </w:t>
      </w:r>
      <w:r>
        <w:rPr>
          <w:i/>
          <w:iCs/>
        </w:rPr>
        <w:t>Evolution of Life Histories: Theory and Analysis</w:t>
      </w:r>
      <w:r>
        <w:t>. Chapman &amp; Hall, Inc.</w:t>
      </w:r>
    </w:p>
    <w:p w14:paraId="61C3EEBA" w14:textId="77777777" w:rsidR="002D505D" w:rsidRDefault="00941FD4">
      <w:pPr>
        <w:pStyle w:val="Bibliography"/>
      </w:pPr>
      <w:bookmarkStart w:id="36" w:name="ref-schindelin2012"/>
      <w:bookmarkEnd w:id="35"/>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iCs/>
        </w:rPr>
        <w:t>Nat Methods</w:t>
      </w:r>
      <w:r>
        <w:t xml:space="preserve">, </w:t>
      </w:r>
      <w:r>
        <w:rPr>
          <w:i/>
          <w:iCs/>
        </w:rPr>
        <w:t>9</w:t>
      </w:r>
      <w:r>
        <w:t>(7), 676–682.</w:t>
      </w:r>
    </w:p>
    <w:p w14:paraId="34AA316F" w14:textId="77777777" w:rsidR="002D505D" w:rsidRDefault="00941FD4">
      <w:pPr>
        <w:pStyle w:val="Bibliography"/>
      </w:pPr>
      <w:bookmarkStart w:id="37" w:name="ref-seko2006"/>
      <w:bookmarkEnd w:id="36"/>
      <w:r>
        <w:t xml:space="preserve">Seko, T., Miyatake, T., Fujioka, S., &amp; Nakasuji, F. (2006). Genetic and environmental sources of egg size, fecundity and body size in the migrant skipper, parnara guttata guttata (lepidoptera: hesperiidae). </w:t>
      </w:r>
      <w:r>
        <w:rPr>
          <w:i/>
          <w:iCs/>
        </w:rPr>
        <w:t>Popul Ecol</w:t>
      </w:r>
      <w:r>
        <w:t xml:space="preserve">, </w:t>
      </w:r>
      <w:r>
        <w:rPr>
          <w:i/>
          <w:iCs/>
        </w:rPr>
        <w:t>48</w:t>
      </w:r>
      <w:r>
        <w:t>(3), 225–232.</w:t>
      </w:r>
    </w:p>
    <w:p w14:paraId="00373D54" w14:textId="77777777" w:rsidR="002D505D" w:rsidRDefault="00941FD4">
      <w:pPr>
        <w:pStyle w:val="Bibliography"/>
      </w:pPr>
      <w:bookmarkStart w:id="38" w:name="ref-shine1978"/>
      <w:bookmarkEnd w:id="37"/>
      <w:r>
        <w:t xml:space="preserve">Shine, R. (1978). Propagule size and parental care: The “safe harbor” hypothesis. </w:t>
      </w:r>
      <w:r>
        <w:rPr>
          <w:i/>
          <w:iCs/>
        </w:rPr>
        <w:t>J Theor Biol</w:t>
      </w:r>
      <w:r>
        <w:t xml:space="preserve">, </w:t>
      </w:r>
      <w:r>
        <w:rPr>
          <w:i/>
          <w:iCs/>
        </w:rPr>
        <w:t>75</w:t>
      </w:r>
      <w:r>
        <w:t>(4), 417–424.</w:t>
      </w:r>
    </w:p>
    <w:p w14:paraId="6238765D" w14:textId="77777777" w:rsidR="002D505D" w:rsidRDefault="00941FD4">
      <w:pPr>
        <w:pStyle w:val="Bibliography"/>
      </w:pPr>
      <w:bookmarkStart w:id="39" w:name="ref-simpson1951"/>
      <w:bookmarkEnd w:id="38"/>
      <w:r>
        <w:t xml:space="preserve">Simpson, E. H. (1951). The interpretation of interaction in contingency tables. </w:t>
      </w:r>
      <w:r>
        <w:rPr>
          <w:i/>
          <w:iCs/>
        </w:rPr>
        <w:t>Journal of the Royal Statistical Society: Series B (Methodological)</w:t>
      </w:r>
      <w:r>
        <w:t xml:space="preserve">, </w:t>
      </w:r>
      <w:r>
        <w:rPr>
          <w:i/>
          <w:iCs/>
        </w:rPr>
        <w:t>13</w:t>
      </w:r>
      <w:r>
        <w:t>(2), 238–241.</w:t>
      </w:r>
    </w:p>
    <w:p w14:paraId="2B21A621" w14:textId="77777777" w:rsidR="002D505D" w:rsidRDefault="00941FD4">
      <w:pPr>
        <w:pStyle w:val="Bibliography"/>
      </w:pPr>
      <w:bookmarkStart w:id="40" w:name="ref-slagsvold1984"/>
      <w:bookmarkEnd w:id="39"/>
      <w:r>
        <w:t xml:space="preserve">Slagsvold, T., Sandvik, J., Rofstad, G., Lorentsen, Ö., &amp; Husby, M. (1984). On the adaptive value of intraclutch egg-size variation in birds. </w:t>
      </w:r>
      <w:r>
        <w:rPr>
          <w:i/>
          <w:iCs/>
        </w:rPr>
        <w:t>The Auk</w:t>
      </w:r>
      <w:r>
        <w:t xml:space="preserve">, </w:t>
      </w:r>
      <w:r>
        <w:rPr>
          <w:i/>
          <w:iCs/>
        </w:rPr>
        <w:t>101</w:t>
      </w:r>
      <w:r>
        <w:t>(4), 685–697.</w:t>
      </w:r>
    </w:p>
    <w:p w14:paraId="44EF07C5" w14:textId="77777777" w:rsidR="002D505D" w:rsidRDefault="00941FD4">
      <w:pPr>
        <w:pStyle w:val="Bibliography"/>
      </w:pPr>
      <w:bookmarkStart w:id="41" w:name="ref-smith1974"/>
      <w:bookmarkEnd w:id="40"/>
      <w:r>
        <w:lastRenderedPageBreak/>
        <w:t xml:space="preserve">Smith, C. C., &amp; Fretwell, S. D. (1974). The optimal balance between size and number of offspring. </w:t>
      </w:r>
      <w:r>
        <w:rPr>
          <w:i/>
          <w:iCs/>
        </w:rPr>
        <w:t>Am Nat</w:t>
      </w:r>
      <w:r>
        <w:t xml:space="preserve">, </w:t>
      </w:r>
      <w:r>
        <w:rPr>
          <w:i/>
          <w:iCs/>
        </w:rPr>
        <w:t>108</w:t>
      </w:r>
      <w:r>
        <w:t>(962), 499–506.</w:t>
      </w:r>
    </w:p>
    <w:p w14:paraId="2109EADB" w14:textId="77777777" w:rsidR="002D505D" w:rsidRDefault="00941FD4">
      <w:pPr>
        <w:pStyle w:val="Bibliography"/>
      </w:pPr>
      <w:bookmarkStart w:id="42" w:name="ref-staerkle2008"/>
      <w:bookmarkEnd w:id="41"/>
      <w:r>
        <w:t>Staerkle, M., &amp; Kölliker, M. (2008). Maternal food regurgitation to nymphs in earwigs (</w:t>
      </w:r>
      <w:r>
        <w:rPr>
          <w:i/>
          <w:iCs/>
        </w:rPr>
        <w:t>forficula auricularia</w:t>
      </w:r>
      <w:r>
        <w:t xml:space="preserve">). </w:t>
      </w:r>
      <w:r>
        <w:rPr>
          <w:i/>
          <w:iCs/>
        </w:rPr>
        <w:t>Ethology</w:t>
      </w:r>
      <w:r>
        <w:t xml:space="preserve">, </w:t>
      </w:r>
      <w:r>
        <w:rPr>
          <w:i/>
          <w:iCs/>
        </w:rPr>
        <w:t>114</w:t>
      </w:r>
      <w:r>
        <w:t>(9), 844–850.</w:t>
      </w:r>
    </w:p>
    <w:p w14:paraId="1483A8AE" w14:textId="77777777" w:rsidR="002D505D" w:rsidRDefault="00941FD4">
      <w:pPr>
        <w:pStyle w:val="Bibliography"/>
      </w:pPr>
      <w:bookmarkStart w:id="43" w:name="ref-stearns1992"/>
      <w:bookmarkEnd w:id="42"/>
      <w:r>
        <w:t xml:space="preserve">Stearns, S. C. (1992). </w:t>
      </w:r>
      <w:r>
        <w:rPr>
          <w:i/>
          <w:iCs/>
        </w:rPr>
        <w:t>The Evolution of Life Histories</w:t>
      </w:r>
      <w:r>
        <w:t>. Oxford University Press.</w:t>
      </w:r>
    </w:p>
    <w:p w14:paraId="19EADBE0" w14:textId="77777777" w:rsidR="002D505D" w:rsidRDefault="00941FD4">
      <w:pPr>
        <w:pStyle w:val="Bibliography"/>
      </w:pPr>
      <w:bookmarkStart w:id="44" w:name="ref-stoffel2017"/>
      <w:bookmarkEnd w:id="43"/>
      <w:r>
        <w:t xml:space="preserve">Stoffel, M. A., Nakagawa, S., &amp; Schielzeth, H. (2017). RptR: Repeatability estimation and variance decomposition by generalized linear mixed‐effects models. </w:t>
      </w:r>
      <w:r>
        <w:rPr>
          <w:i/>
          <w:iCs/>
        </w:rPr>
        <w:t>Methods Ecol Evol</w:t>
      </w:r>
      <w:r>
        <w:t xml:space="preserve">, </w:t>
      </w:r>
      <w:r>
        <w:rPr>
          <w:i/>
          <w:iCs/>
        </w:rPr>
        <w:t>8</w:t>
      </w:r>
      <w:r>
        <w:t>(11), 1639–1644.</w:t>
      </w:r>
    </w:p>
    <w:p w14:paraId="6201F0D9" w14:textId="77777777" w:rsidR="002D505D" w:rsidRDefault="00941FD4">
      <w:pPr>
        <w:pStyle w:val="Bibliography"/>
      </w:pPr>
      <w:bookmarkStart w:id="45" w:name="ref-torres-vila2012"/>
      <w:bookmarkEnd w:id="44"/>
      <w:r>
        <w:t xml:space="preserve">Torres-Vila, L., Cruces-Caldera, E., Rodrı́guez-Molina, M., &amp; Cauterruccio, L. (2012). Host plant selects for egg size in the moth lobesia botrana: Integrating reproductive and ecological trade-offs is not a simple matter. In L. Cauterruccio (Ed.), </w:t>
      </w:r>
      <w:r>
        <w:rPr>
          <w:i/>
          <w:iCs/>
        </w:rPr>
        <w:t>Moths: Types, ecological significance and control methods</w:t>
      </w:r>
      <w:r>
        <w:t xml:space="preserve"> (pp. 145–167). Nova Science Publishers.</w:t>
      </w:r>
    </w:p>
    <w:p w14:paraId="7F8191D1" w14:textId="77777777" w:rsidR="002D505D" w:rsidRDefault="00941FD4">
      <w:pPr>
        <w:pStyle w:val="Bibliography"/>
      </w:pPr>
      <w:bookmarkStart w:id="46" w:name="ref-tourneur2018"/>
      <w:bookmarkEnd w:id="45"/>
      <w:r>
        <w:t xml:space="preserve">Tourneur, J.-C. (2018). Factors affecting the egg-laying pattern of </w:t>
      </w:r>
      <w:r>
        <w:rPr>
          <w:i/>
          <w:iCs/>
        </w:rPr>
        <w:t>forficula auricularia</w:t>
      </w:r>
      <w:r>
        <w:t xml:space="preserve"> (dermaptera: Forficulidae) in three climatologically different zones of north america. </w:t>
      </w:r>
      <w:r>
        <w:rPr>
          <w:i/>
          <w:iCs/>
        </w:rPr>
        <w:t>The Canadian Entomologist</w:t>
      </w:r>
      <w:r>
        <w:t xml:space="preserve">, </w:t>
      </w:r>
      <w:r>
        <w:rPr>
          <w:i/>
          <w:iCs/>
        </w:rPr>
        <w:t>150</w:t>
      </w:r>
      <w:r>
        <w:t>(4), 511–519.</w:t>
      </w:r>
    </w:p>
    <w:p w14:paraId="28C3E8BA" w14:textId="77777777" w:rsidR="002D505D" w:rsidRDefault="00941FD4">
      <w:pPr>
        <w:pStyle w:val="Bibliography"/>
      </w:pPr>
      <w:bookmarkStart w:id="47" w:name="ref-tourneur1992"/>
      <w:bookmarkEnd w:id="46"/>
      <w:r>
        <w:t xml:space="preserve">Tourneur, J.-C., &amp; Gingras, J. (1992). Egg laying in a northeastern North American (montréal, québec) population of </w:t>
      </w:r>
      <w:r>
        <w:rPr>
          <w:i/>
          <w:iCs/>
        </w:rPr>
        <w:t>forficula auricularia</w:t>
      </w:r>
      <w:r>
        <w:t xml:space="preserve"> l. (Dermaptera: Forficulidae). </w:t>
      </w:r>
      <w:r>
        <w:rPr>
          <w:i/>
          <w:iCs/>
        </w:rPr>
        <w:t>The Canadian Entomologist</w:t>
      </w:r>
      <w:r>
        <w:t xml:space="preserve">, </w:t>
      </w:r>
      <w:r>
        <w:rPr>
          <w:i/>
          <w:iCs/>
        </w:rPr>
        <w:t>124</w:t>
      </w:r>
      <w:r>
        <w:t>(6), 1055–1061.</w:t>
      </w:r>
    </w:p>
    <w:p w14:paraId="7EC3ED53" w14:textId="77777777" w:rsidR="002D505D" w:rsidRDefault="00941FD4">
      <w:pPr>
        <w:pStyle w:val="Bibliography"/>
      </w:pPr>
      <w:bookmarkStart w:id="48" w:name="ref-vannoordwijk1986"/>
      <w:bookmarkEnd w:id="47"/>
      <w:r>
        <w:t xml:space="preserve">Van Noordwijk, A. J., &amp; Jong, G. de. (1986). Acquisition and allocation of resources: Their influence on variation in life history tactics. </w:t>
      </w:r>
      <w:r>
        <w:rPr>
          <w:i/>
          <w:iCs/>
        </w:rPr>
        <w:t>Am Nat</w:t>
      </w:r>
      <w:r>
        <w:t xml:space="preserve">, </w:t>
      </w:r>
      <w:r>
        <w:rPr>
          <w:i/>
          <w:iCs/>
        </w:rPr>
        <w:t>128</w:t>
      </w:r>
      <w:r>
        <w:t>(1), 137–142.</w:t>
      </w:r>
    </w:p>
    <w:p w14:paraId="3D748D7A" w14:textId="77777777" w:rsidR="002D505D" w:rsidRDefault="00941FD4">
      <w:pPr>
        <w:pStyle w:val="Bibliography"/>
      </w:pPr>
      <w:bookmarkStart w:id="49" w:name="ref-vehtari2017"/>
      <w:bookmarkEnd w:id="48"/>
      <w:r>
        <w:t xml:space="preserve">Vehtari, A., Gelman, A., &amp; Gabry, J. (2017). Practical Bayesian model evaluation using leave-one-out cross-validation and WAIC. </w:t>
      </w:r>
      <w:r>
        <w:rPr>
          <w:i/>
          <w:iCs/>
        </w:rPr>
        <w:t>Statistics and Computing</w:t>
      </w:r>
      <w:r>
        <w:t xml:space="preserve">, </w:t>
      </w:r>
      <w:r>
        <w:rPr>
          <w:i/>
          <w:iCs/>
        </w:rPr>
        <w:t>27</w:t>
      </w:r>
      <w:r>
        <w:t>(5), 1413–1432.</w:t>
      </w:r>
    </w:p>
    <w:p w14:paraId="3B64529E" w14:textId="77777777" w:rsidR="002D505D" w:rsidRDefault="00941FD4">
      <w:pPr>
        <w:pStyle w:val="Bibliography"/>
      </w:pPr>
      <w:bookmarkStart w:id="50" w:name="ref-williams1994"/>
      <w:bookmarkEnd w:id="49"/>
      <w:r>
        <w:t xml:space="preserve">Williams, T. D. (1994). Intraspecific variation in egg size and egg composition in birds: Effects on offspring fitness. </w:t>
      </w:r>
      <w:r>
        <w:rPr>
          <w:i/>
          <w:iCs/>
        </w:rPr>
        <w:t>Biol Rev Camb Philos Soc</w:t>
      </w:r>
      <w:r>
        <w:t xml:space="preserve">, </w:t>
      </w:r>
      <w:r>
        <w:rPr>
          <w:i/>
          <w:iCs/>
        </w:rPr>
        <w:t>69</w:t>
      </w:r>
      <w:r>
        <w:t>(1), 35–59.</w:t>
      </w:r>
    </w:p>
    <w:p w14:paraId="12C25450" w14:textId="77777777" w:rsidR="002D505D" w:rsidRDefault="00941FD4">
      <w:pPr>
        <w:pStyle w:val="Bibliography"/>
      </w:pPr>
      <w:bookmarkStart w:id="51" w:name="ref-winkler1987"/>
      <w:bookmarkEnd w:id="50"/>
      <w:r>
        <w:t xml:space="preserve">Winkler, D. W., &amp; Wallin, K. (1987). Offspring size and number: A life history model linking effort per offspring and total effort. </w:t>
      </w:r>
      <w:r>
        <w:rPr>
          <w:i/>
          <w:iCs/>
        </w:rPr>
        <w:t>Am Nat</w:t>
      </w:r>
      <w:r>
        <w:t xml:space="preserve">, </w:t>
      </w:r>
      <w:r>
        <w:rPr>
          <w:i/>
          <w:iCs/>
        </w:rPr>
        <w:t>129</w:t>
      </w:r>
      <w:r>
        <w:t>(5), 708–720.</w:t>
      </w:r>
    </w:p>
    <w:p w14:paraId="44293D88" w14:textId="77777777" w:rsidR="002D505D" w:rsidRDefault="00941FD4">
      <w:pPr>
        <w:pStyle w:val="Bibliography"/>
      </w:pPr>
      <w:bookmarkStart w:id="52" w:name="ref-yanagi2006"/>
      <w:bookmarkEnd w:id="51"/>
      <w:r>
        <w:t xml:space="preserve">Yanagi, S., Oikawa, T., &amp; Miyatake, T. (2006). Heritability and genetic correlation estimates for egg size and number in callosobruchus chinensis (coleoptera: bruchidae). </w:t>
      </w:r>
      <w:r>
        <w:rPr>
          <w:i/>
          <w:iCs/>
        </w:rPr>
        <w:t>Ann Entomol Soc Am</w:t>
      </w:r>
      <w:r>
        <w:t xml:space="preserve">, </w:t>
      </w:r>
      <w:r>
        <w:rPr>
          <w:i/>
          <w:iCs/>
        </w:rPr>
        <w:t>99</w:t>
      </w:r>
      <w:r>
        <w:t>(2), 364–368.</w:t>
      </w:r>
    </w:p>
    <w:p w14:paraId="7D2A5448" w14:textId="77777777" w:rsidR="002D505D" w:rsidRDefault="00941FD4">
      <w:pPr>
        <w:pStyle w:val="Bibliography"/>
      </w:pPr>
      <w:bookmarkStart w:id="53" w:name="ref-yosef2008"/>
      <w:bookmarkEnd w:id="52"/>
      <w:r>
        <w:t xml:space="preserve">Yosef, R., &amp; Zduniak, P. (2008). Variation in clutch size, egg size variability and reproductive output in the desert finch (rhodospiza obsoleta). </w:t>
      </w:r>
      <w:r>
        <w:rPr>
          <w:i/>
          <w:iCs/>
        </w:rPr>
        <w:t>J Arid Environ</w:t>
      </w:r>
      <w:r>
        <w:t xml:space="preserve">, </w:t>
      </w:r>
      <w:r>
        <w:rPr>
          <w:i/>
          <w:iCs/>
        </w:rPr>
        <w:t>72</w:t>
      </w:r>
      <w:r>
        <w:t>(9), 1631–1635.</w:t>
      </w:r>
    </w:p>
    <w:bookmarkEnd w:id="9"/>
    <w:bookmarkEnd w:id="53"/>
    <w:p w14:paraId="5BF0521B" w14:textId="77777777" w:rsidR="002D505D" w:rsidRDefault="002D505D">
      <w:pPr>
        <w:sectPr w:rsidR="002D505D" w:rsidSect="008768B8">
          <w:footerReference w:type="even" r:id="rId7"/>
          <w:footerReference w:type="default" r:id="rId8"/>
          <w:type w:val="continuous"/>
          <w:pgSz w:w="11906" w:h="16838"/>
          <w:pgMar w:top="1418" w:right="1418" w:bottom="1797" w:left="1418" w:header="709" w:footer="709" w:gutter="0"/>
          <w:lnNumType w:countBy="1" w:restart="continuous"/>
          <w:cols w:space="720"/>
        </w:sectPr>
      </w:pPr>
    </w:p>
    <w:p w14:paraId="2D8AAAB4" w14:textId="77777777" w:rsidR="002D505D" w:rsidRDefault="00941FD4">
      <w:pPr>
        <w:pStyle w:val="BodyText"/>
      </w:pPr>
      <w:r>
        <w:lastRenderedPageBreak/>
        <w:t>##Figures</w:t>
      </w:r>
    </w:p>
    <w:tbl>
      <w:tblPr>
        <w:tblStyle w:val="Table"/>
        <w:tblW w:w="5000" w:type="pct"/>
        <w:tblLayout w:type="fixed"/>
        <w:tblLook w:val="0000" w:firstRow="0" w:lastRow="0" w:firstColumn="0" w:lastColumn="0" w:noHBand="0" w:noVBand="0"/>
      </w:tblPr>
      <w:tblGrid>
        <w:gridCol w:w="9620"/>
      </w:tblGrid>
      <w:tr w:rsidR="002D505D" w14:paraId="4741AC76" w14:textId="77777777">
        <w:tc>
          <w:tcPr>
            <w:tcW w:w="7920" w:type="dxa"/>
          </w:tcPr>
          <w:p w14:paraId="3BC38D83" w14:textId="77777777" w:rsidR="002D505D" w:rsidRDefault="00941FD4">
            <w:pPr>
              <w:pStyle w:val="Compact"/>
              <w:jc w:val="center"/>
            </w:pPr>
            <w:bookmarkStart w:id="54" w:name="fig-one"/>
            <w:r>
              <w:rPr>
                <w:noProof/>
              </w:rPr>
              <w:drawing>
                <wp:inline distT="0" distB="0" distL="0" distR="0" wp14:anchorId="4317F16E" wp14:editId="0895D577">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18B76D" w14:textId="77777777" w:rsidR="002D505D" w:rsidRDefault="00941FD4">
            <w:pPr>
              <w:pStyle w:val="ImageCaption"/>
              <w:spacing w:before="200"/>
            </w:pPr>
            <w:r>
              <w:t>Figure 1: Mean egg perimeter (mm) plotted against clutch size for the first (salmon) and second (blue) clutches of n = 42 female European earwigs (</w:t>
            </w:r>
            <w:r>
              <w:rPr>
                <w:i/>
                <w:iCs/>
              </w:rPr>
              <w:t>F. auricularia</w:t>
            </w:r>
            <w:r>
              <w:t>). Data are raw values.</w:t>
            </w:r>
          </w:p>
        </w:tc>
        <w:bookmarkEnd w:id="54"/>
      </w:tr>
    </w:tbl>
    <w:p w14:paraId="3D81F8DE" w14:textId="77777777" w:rsidR="002D505D" w:rsidRDefault="00941FD4">
      <w:pPr>
        <w:pStyle w:val="BodyText"/>
      </w:pPr>
      <w:r>
        <w:t xml:space="preserve"> </w:t>
      </w:r>
    </w:p>
    <w:tbl>
      <w:tblPr>
        <w:tblStyle w:val="Table"/>
        <w:tblW w:w="5000" w:type="pct"/>
        <w:tblLayout w:type="fixed"/>
        <w:tblLook w:val="0000" w:firstRow="0" w:lastRow="0" w:firstColumn="0" w:lastColumn="0" w:noHBand="0" w:noVBand="0"/>
      </w:tblPr>
      <w:tblGrid>
        <w:gridCol w:w="9620"/>
      </w:tblGrid>
      <w:tr w:rsidR="002D505D" w14:paraId="717A3B18" w14:textId="77777777">
        <w:tc>
          <w:tcPr>
            <w:tcW w:w="7920" w:type="dxa"/>
          </w:tcPr>
          <w:p w14:paraId="3E3539DC" w14:textId="77777777" w:rsidR="002D505D" w:rsidRDefault="00941FD4">
            <w:pPr>
              <w:pStyle w:val="Compact"/>
              <w:jc w:val="center"/>
            </w:pPr>
            <w:bookmarkStart w:id="55" w:name="fig-two"/>
            <w:r>
              <w:rPr>
                <w:noProof/>
              </w:rPr>
              <w:drawing>
                <wp:inline distT="0" distB="0" distL="0" distR="0" wp14:anchorId="772AFB29" wp14:editId="46F2584B">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1AF98544" w14:textId="77777777" w:rsidR="002D505D" w:rsidRDefault="00941FD4">
            <w:pPr>
              <w:pStyle w:val="ImageCaption"/>
              <w:spacing w:before="200"/>
            </w:pPr>
            <w:r>
              <w:t>Figure 2: (a) Among and (b) within-female egg size variation in the first and second clutches of n = 42 female European earwigs (</w:t>
            </w:r>
            <w:r>
              <w:rPr>
                <w:i/>
                <w:iCs/>
              </w:rPr>
              <w:t>F. auricularia</w:t>
            </w:r>
            <w:r>
              <w:t>).</w:t>
            </w:r>
          </w:p>
        </w:tc>
        <w:bookmarkEnd w:id="55"/>
      </w:tr>
      <w:bookmarkEnd w:id="7"/>
    </w:tbl>
    <w:p w14:paraId="793A0D2A" w14:textId="77777777" w:rsidR="00CC3ACE" w:rsidRDefault="00CC3ACE" w:rsidP="008768B8"/>
    <w:sectPr w:rsidR="00CC3ACE" w:rsidSect="008768B8">
      <w:headerReference w:type="even" r:id="rId11"/>
      <w:headerReference w:type="default" r:id="rId12"/>
      <w:footerReference w:type="even" r:id="rId13"/>
      <w:footerReference w:type="default" r:id="rId14"/>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41C2" w14:textId="77777777" w:rsidR="00CC3ACE" w:rsidRDefault="00CC3ACE">
      <w:pPr>
        <w:spacing w:after="0"/>
      </w:pPr>
      <w:r>
        <w:separator/>
      </w:r>
    </w:p>
  </w:endnote>
  <w:endnote w:type="continuationSeparator" w:id="0">
    <w:p w14:paraId="13B86D6D" w14:textId="77777777" w:rsidR="00CC3ACE" w:rsidRDefault="00CC3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0240363"/>
      <w:docPartObj>
        <w:docPartGallery w:val="Page Numbers (Bottom of Page)"/>
        <w:docPartUnique/>
      </w:docPartObj>
    </w:sdtPr>
    <w:sdtEndPr>
      <w:rPr>
        <w:rStyle w:val="PageNumber"/>
      </w:rPr>
    </w:sdtEndPr>
    <w:sdtContent>
      <w:p w14:paraId="74E3458C" w14:textId="0BCF61CA" w:rsidR="008768B8" w:rsidRDefault="008768B8" w:rsidP="00B31C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D3514F" w14:textId="77777777" w:rsidR="008768B8" w:rsidRDefault="008768B8" w:rsidP="008768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4310573"/>
      <w:docPartObj>
        <w:docPartGallery w:val="Page Numbers (Bottom of Page)"/>
        <w:docPartUnique/>
      </w:docPartObj>
    </w:sdtPr>
    <w:sdtEndPr>
      <w:rPr>
        <w:rStyle w:val="PageNumber"/>
      </w:rPr>
    </w:sdtEndPr>
    <w:sdtContent>
      <w:p w14:paraId="3BDCE7BA" w14:textId="167289A5" w:rsidR="008768B8" w:rsidRDefault="008768B8" w:rsidP="00B31C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02F779" w14:textId="77777777" w:rsidR="008768B8" w:rsidRDefault="008768B8" w:rsidP="008768B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3B64A1B5"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C6776"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5214544E"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F303A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50CC9" w14:textId="77777777" w:rsidR="00CC3ACE" w:rsidRDefault="00CC3ACE">
      <w:pPr>
        <w:spacing w:after="0"/>
      </w:pPr>
      <w:r>
        <w:separator/>
      </w:r>
    </w:p>
  </w:footnote>
  <w:footnote w:type="continuationSeparator" w:id="0">
    <w:p w14:paraId="4862A4AC" w14:textId="77777777" w:rsidR="00CC3ACE" w:rsidRDefault="00CC3A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00CAC8EA"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8A68BC"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A33D" w14:textId="77777777" w:rsidR="00D100A8" w:rsidRDefault="00D100A8" w:rsidP="00F25F6C">
    <w:pPr>
      <w:pStyle w:val="Header"/>
      <w:framePr w:wrap="none" w:vAnchor="text" w:hAnchor="margin" w:xAlign="right" w:y="1"/>
      <w:rPr>
        <w:rStyle w:val="PageNumber"/>
      </w:rPr>
    </w:pPr>
  </w:p>
  <w:p w14:paraId="0AA93BF9"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6FA7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E578E2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2"/>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4"/>
  </w:num>
  <w:num w:numId="13" w16cid:durableId="442194333">
    <w:abstractNumId w:val="13"/>
  </w:num>
  <w:num w:numId="14" w16cid:durableId="1077173035">
    <w:abstractNumId w:val="10"/>
  </w:num>
  <w:num w:numId="15" w16cid:durableId="20056637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5DEF"/>
    <w:rsid w:val="00232669"/>
    <w:rsid w:val="00252E2E"/>
    <w:rsid w:val="00272D89"/>
    <w:rsid w:val="00273020"/>
    <w:rsid w:val="002D1FEF"/>
    <w:rsid w:val="002D505D"/>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270F4"/>
    <w:rsid w:val="00732200"/>
    <w:rsid w:val="0074662F"/>
    <w:rsid w:val="00746FBE"/>
    <w:rsid w:val="007472BC"/>
    <w:rsid w:val="00753713"/>
    <w:rsid w:val="00783F9C"/>
    <w:rsid w:val="00784D58"/>
    <w:rsid w:val="00796EEA"/>
    <w:rsid w:val="0079719B"/>
    <w:rsid w:val="007F08B9"/>
    <w:rsid w:val="007F5E62"/>
    <w:rsid w:val="00812558"/>
    <w:rsid w:val="00851699"/>
    <w:rsid w:val="008768B8"/>
    <w:rsid w:val="008D3402"/>
    <w:rsid w:val="008D6863"/>
    <w:rsid w:val="008D69E1"/>
    <w:rsid w:val="008E79E4"/>
    <w:rsid w:val="0090509B"/>
    <w:rsid w:val="00921965"/>
    <w:rsid w:val="00923B2D"/>
    <w:rsid w:val="00930300"/>
    <w:rsid w:val="00941FD4"/>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C3ACE"/>
    <w:rsid w:val="00CD0B57"/>
    <w:rsid w:val="00CD5B1B"/>
    <w:rsid w:val="00CD64F0"/>
    <w:rsid w:val="00CE76D0"/>
    <w:rsid w:val="00D100A8"/>
    <w:rsid w:val="00D151A9"/>
    <w:rsid w:val="00D16E09"/>
    <w:rsid w:val="00D37451"/>
    <w:rsid w:val="00D63932"/>
    <w:rsid w:val="00D700CE"/>
    <w:rsid w:val="00DB45E1"/>
    <w:rsid w:val="00DE1154"/>
    <w:rsid w:val="00E041E7"/>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34C8"/>
  <w15:docId w15:val="{3027EF86-2F17-0E48-BCB7-1AC4D8F7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17</Pages>
  <Words>4953</Words>
  <Characters>27165</Characters>
  <Application>Microsoft Office Word</Application>
  <DocSecurity>0</DocSecurity>
  <Lines>398</Lines>
  <Paragraphs>78</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3</cp:revision>
  <dcterms:created xsi:type="dcterms:W3CDTF">2026-01-05T15:50:00Z</dcterms:created>
  <dcterms:modified xsi:type="dcterms:W3CDTF">2026-01-05T16:06:00Z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functional-ecology.csl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