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8.jpg" ContentType="image/jpeg"/>
  <Override PartName="/word/media/rId82.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r>
        <w:t xml:space="preserve"> </w:t>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[1]</w:t>
      </w:r>
      <w:r>
        <w:t xml:space="preserve">. A limited pool of reproductive resources, therefore, requires females to balance investment between the number and quality of eggs produced during a reproductive cycle</w:t>
      </w:r>
      <w:r>
        <w:t xml:space="preserve"> </w:t>
      </w:r>
      <w:r>
        <w:t xml:space="preserve">[2–4,see also 5]</w:t>
      </w:r>
      <w:r>
        <w:t xml:space="preserve">. However, these traits do not always trade off against each other</w:t>
      </w:r>
      <w:r>
        <w:t xml:space="preserve"> </w:t>
      </w:r>
      <w:r>
        <w:t xml:space="preserve">[3,4,6–9]</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[10]</w:t>
      </w:r>
      <w:r>
        <w:t xml:space="preserve">. Van Noordwijk and DeJong</w:t>
      </w:r>
      <w:r>
        <w:t xml:space="preserve"> </w:t>
      </w:r>
      <w:r>
        <w:t xml:space="preserve">[11,see also 10]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(assuming that all individuals follow a similar allocation strategy)</w:t>
      </w:r>
      <w:r>
        <w:t xml:space="preserve"> </w:t>
      </w:r>
      <w:r>
        <w:t xml:space="preserve">[i.e Simpson’s Paradox, 12]</w:t>
      </w:r>
      <w:r>
        <w:t xml:space="preserve">.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[13]</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[13]</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[14]</w:t>
      </w:r>
      <w:r>
        <w:t xml:space="preserve">. Females care for eggs and the nymphs for up to 2 weeks post-hatching</w:t>
      </w:r>
      <w:r>
        <w:t xml:space="preserve"> </w:t>
      </w:r>
      <w:r>
        <w:t xml:space="preserve">[14,15]</w:t>
      </w:r>
      <w:r>
        <w:t xml:space="preserve">. Earwigs in Quebec, Canada, are semelparous because the harsh environmental conditions extend the incubation and egg-care period beyond the point at which a second clutch is possible</w:t>
      </w:r>
      <w:r>
        <w:t xml:space="preserve"> </w:t>
      </w:r>
      <w:r>
        <w:t xml:space="preserve">[16]</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2]</w:t>
      </w:r>
      <w:r>
        <w:t xml:space="preserve">. If so, one trait should not differ between clutches (e.g., egg number), whereas the other (e.g., egg size) is adjusted accordingly</w:t>
      </w:r>
      <w:r>
        <w:t xml:space="preserve"> </w:t>
      </w:r>
      <w:r>
        <w:t xml:space="preserve">[17]</w:t>
      </w:r>
      <w:r>
        <w:t xml:space="preserve">.Alternatively, females laying a second clutch may recognise their low residual reproductive value and, consequently, terminally invest in current reproduction by producing either more or larger eggs in this clutch</w:t>
      </w:r>
      <w:r>
        <w:t xml:space="preserve"> </w:t>
      </w:r>
      <w:r>
        <w:t xml:space="preserve">[18]</w:t>
      </w:r>
      <w:r>
        <w:t xml:space="preserve">. Finally, I explore whether eggs in first and second clutches differ in their size variation at the among- and within-female (clutch) levels</w:t>
      </w:r>
      <w:r>
        <w:t xml:space="preserve"> </w:t>
      </w:r>
      <w:r>
        <w:t xml:space="preserve">[e.g. 9]</w:t>
      </w:r>
      <w:r>
        <w:t xml:space="preserve">.</w:t>
      </w:r>
    </w:p>
    <w:bookmarkEnd w:id="22"/>
    <w:bookmarkStart w:id="24" w:name="methods"/>
    <w:p>
      <w:pPr>
        <w:pStyle w:val="Heading1"/>
      </w:pPr>
      <w:r>
        <w:t xml:space="preserve">Methods</w:t>
      </w:r>
    </w:p>
    <w:p>
      <w:pPr>
        <w:pStyle w:val="FirstParagraph"/>
      </w:pPr>
      <w:r>
        <w:t xml:space="preserve">I collected adult female earwigs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[19]</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[20]</w:t>
      </w:r>
      <w:r>
        <w:t xml:space="preserve">. I entered the trait of interest as the response variable, female ID as a random effect, and assumed a Gaussian distribution. Each analysis was based on 1000 bootstrap samples. Because the measurements of my three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egg perimeter in the first brood:</w:t>
      </w:r>
      <w:r>
        <w:t xml:space="preserve"> </w:t>
      </w:r>
      <w:r>
        <w:rPr>
          <w:i/>
          <w:iCs/>
        </w:rPr>
        <w:t xml:space="preserve">R</w:t>
      </w:r>
      <w:r>
        <w:t xml:space="preserve"> </w:t>
      </w:r>
      <w:r>
        <w:t xml:space="preserve">[95% CI] = 0.977 [0.976, 0.979] and in the second brood:</w:t>
      </w:r>
      <w:r>
        <w:t xml:space="preserve"> </w:t>
      </w:r>
      <w:r>
        <w:rPr>
          <w:i/>
          <w:iCs/>
        </w:rPr>
        <w:t xml:space="preserve">R</w:t>
      </w:r>
      <w:r>
        <w:t xml:space="preserve"> </w:t>
      </w:r>
      <w:r>
        <w:t xml:space="preserve">[95% CI] = 0.93 [0.926, 0.937] ). I used each female’s mean value for each trait in all subsequent analyses.</w:t>
      </w:r>
    </w:p>
    <w:p>
      <w:pPr>
        <w:pStyle w:val="BodyText"/>
      </w:pPr>
      <w:r>
        <w:t xml:space="preserve">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stats package in R</w:t>
      </w:r>
      <w:r>
        <w:t xml:space="preserve"> </w:t>
      </w:r>
      <w:r>
        <w:t xml:space="preserve">[21]</w:t>
      </w:r>
      <w:r>
        <w:t xml:space="preserve">. The first PC accounted for 60.8% of the variation. I also standardised female body mass relative to body size using the scaled mass index procedure of Peig and Green</w:t>
      </w:r>
      <w:r>
        <w:t xml:space="preserve"> </w:t>
      </w:r>
      <w:r>
        <w:t xml:space="preserve">[22,23,see also 24]</w:t>
      </w:r>
      <w:r>
        <w:t xml:space="preserve">.</w:t>
      </w:r>
    </w:p>
    <w:p>
      <w:pPr>
        <w:pStyle w:val="BodyText"/>
      </w:pPr>
      <w:r>
        <w:t xml:space="preserve">I tested the prediction that egg number and egg size trade off within females using a Bayesian multivariate linear mixed-effects model (</w:t>
      </w:r>
      <w:r>
        <w:rPr>
          <w:i/>
          <w:iCs/>
        </w:rPr>
        <w:t xml:space="preserve">brms</w:t>
      </w:r>
      <w:r>
        <w:t xml:space="preserve"> </w:t>
      </w:r>
      <w:r>
        <w:t xml:space="preserve">package,</w:t>
      </w:r>
      <w:r>
        <w:t xml:space="preserve"> </w:t>
      </w:r>
      <w:r>
        <w:t xml:space="preserve">[25]</w:t>
      </w:r>
      <w:r>
        <w:t xml:space="preserve">). Egg number and egg perimeter were entered as scaled response variables, and</w:t>
      </w:r>
      <w:r>
        <w:t xml:space="preserve"> </w:t>
      </w:r>
      <w:r>
        <w:rPr>
          <w:i/>
          <w:iCs/>
        </w:rPr>
        <w:t xml:space="preserve">res_cor</w:t>
      </w:r>
      <w:r>
        <w:t xml:space="preserve"> </w:t>
      </w:r>
      <w:r>
        <w:t xml:space="preserve">was set to TRUE to estimate the within-individual (residual) correlation (</w:t>
      </w:r>
      <w:r>
        <w:rPr>
          <w:i/>
          <w:iCs/>
        </w:rPr>
        <w:t xml:space="preserve">r</w:t>
      </w:r>
      <w:r>
        <w:rPr>
          <w:vertAlign w:val="subscript"/>
        </w:rPr>
        <w:t xml:space="preserve">within</w:t>
      </w:r>
      <w:r>
        <w:t xml:space="preserve">)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scaled mass as a continuous covariate because body size generally correlates with fecundity in insects</w:t>
      </w:r>
      <w:r>
        <w:t xml:space="preserve"> </w:t>
      </w:r>
      <w:r>
        <w:t xml:space="preserve">[26]</w:t>
      </w:r>
      <w:r>
        <w:t xml:space="preserve">. Female ID was included as a random effect via the term (1|a|id), ensuring that random effects were correlated within each female. I assessed which of the four measures of female body size (pronotum length, body mass, PC1, or scaled mass) provided the greatest explanatory power by running three models, each with a different measure, and then comparing them, in addition to a null model without a size measure, using leave-one-out cross-validation (LOO)</w:t>
      </w:r>
      <w:r>
        <w:t xml:space="preserve"> </w:t>
      </w:r>
      <w:r>
        <w:t xml:space="preserve">[27]</w:t>
      </w:r>
      <w:r>
        <w:t xml:space="preserve">. Pronotum length, body mass, and scaled mass were scaled (mean = 0, sd = 1) before analysis. The model that included pronotum length as a continuous covariate provided the best fit (Expected Log Predictive Density (ELPD) = -6749.35). I report the among- (</w:t>
      </w:r>
      <w:r>
        <w:rPr>
          <w:i/>
          <w:iCs/>
        </w:rPr>
        <w:t xml:space="preserve">r</w:t>
      </w:r>
      <w:r>
        <w:rPr>
          <w:vertAlign w:val="subscript"/>
        </w:rPr>
        <w:t xml:space="preserve">among</w:t>
      </w:r>
      <w:r>
        <w:t xml:space="preserve">) and within- (residual,</w:t>
      </w:r>
      <w:r>
        <w:t xml:space="preserve"> </w:t>
      </w:r>
      <w:r>
        <w:rPr>
          <w:i/>
          <w:iCs/>
        </w:rPr>
        <w:t xml:space="preserve">r</w:t>
      </w:r>
      <w:r>
        <w:rPr>
          <w:vertAlign w:val="subscript"/>
        </w:rPr>
        <w:t xml:space="preserve">within</w:t>
      </w:r>
      <w:r>
        <w:t xml:space="preserve">) female correlations and associated 95% credible intervals (CrIs) from the model and sum these two values to estimate the phenotypic correlation (</w:t>
      </w:r>
      <w:r>
        <w:rPr>
          <w:i/>
          <w:iCs/>
        </w:rPr>
        <w:t xml:space="preserve">r</w:t>
      </w:r>
      <w:r>
        <w:rPr>
          <w:vertAlign w:val="subscript"/>
        </w:rPr>
        <w:t xml:space="preserve">p</w:t>
      </w:r>
      <w:r>
        <w:t xml:space="preserve">) and its associated 95% CrI.</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mass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w:t>
      </w:r>
    </w:p>
    <w:p>
      <w:pPr>
        <w:pStyle w:val="BodyText"/>
      </w:pPr>
      <w:r>
        <w:t xml:space="preserve">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(Rhat = 1.00). I report posterior means with 95% credible intervals (CrIs) for all parameter estimates, where inference was based on CrIs that did not include zero.</w:t>
      </w:r>
    </w:p>
    <w:bookmarkEnd w:id="23"/>
    <w:bookmarkEnd w:id="24"/>
    <w:bookmarkStart w:id="25" w:name="results"/>
    <w:p>
      <w:pPr>
        <w:pStyle w:val="Heading1"/>
      </w:pPr>
      <w:r>
        <w:t xml:space="preserve">Results</w:t>
      </w:r>
    </w:p>
    <w:p>
      <w:pPr>
        <w:pStyle w:val="FirstParagraph"/>
      </w:pPr>
      <w:r>
        <w:t xml:space="preserve">I did not support the prediction that egg number and egg size positively correlate either phenotypically (</w:t>
      </w:r>
      <w:r>
        <w:rPr>
          <w:i/>
          <w:iCs/>
        </w:rPr>
        <w:t xml:space="preserve">r</w:t>
      </w:r>
      <w:r>
        <w:rPr>
          <w:vertAlign w:val="subscript"/>
        </w:rPr>
        <w:t xml:space="preserve">p</w:t>
      </w:r>
      <w:r>
        <w:t xml:space="preserve"> </w:t>
      </w:r>
      <w:r>
        <w:t xml:space="preserve">[95% CrI] = -0.08 [-0.36, 0.22];</w:t>
      </w:r>
      <w:r>
        <w:t xml:space="preserve"> </w:t>
      </w:r>
      <w:hyperlink w:anchor="fig-one">
        <w:r>
          <w:rPr>
            <w:rStyle w:val="Hyperlink"/>
          </w:rPr>
          <w:t xml:space="preserve">Figure 1</w:t>
        </w:r>
      </w:hyperlink>
      <w:r>
        <w:t xml:space="preserve">) or among females (</w:t>
      </w:r>
      <w:r>
        <w:rPr>
          <w:i/>
          <w:iCs/>
        </w:rPr>
        <w:t xml:space="preserve">r</w:t>
      </w:r>
      <w:r>
        <w:rPr>
          <w:vertAlign w:val="subscript"/>
        </w:rPr>
        <w:t xml:space="preserve">among</w:t>
      </w:r>
      <w:r>
        <w:t xml:space="preserve"> </w:t>
      </w:r>
      <w:r>
        <w:t xml:space="preserve">[95% CrI] = -0.13 [-0.41, 0.17]). Contrary to prediction, egg number and size were positively, rather than negatively, correlated at the within-individual level (</w:t>
      </w:r>
      <w:r>
        <w:rPr>
          <w:i/>
          <w:iCs/>
        </w:rPr>
        <w:t xml:space="preserve">r</w:t>
      </w:r>
      <w:r>
        <w:rPr>
          <w:vertAlign w:val="subscript"/>
        </w:rPr>
        <w:t xml:space="preserve">within</w:t>
      </w:r>
      <w:r>
        <w:t xml:space="preserve"> </w:t>
      </w:r>
      <w:r>
        <w:t xml:space="preserve">[95% CrI] = 0.06 [0.03, 0.09]).</w:t>
      </w:r>
    </w:p>
    <w:p>
      <w:pPr>
        <w:pStyle w:val="BodyText"/>
      </w:pPr>
      <w:r>
        <w:t xml:space="preserve">I found that second clutches (</w:t>
      </w:r>
      <m:oMath>
        <m:acc>
          <m:accPr>
            <m:chr m:val="‾"/>
          </m:accPr>
          <m:e>
            <m:r>
              <m:t>x</m:t>
            </m:r>
          </m:e>
        </m:acc>
      </m:oMath>
      <w:r>
        <w:t xml:space="preserve"> </w:t>
      </w:r>
      <w:r>
        <w:t xml:space="preserve">= 34.14 ± 17.17 eggs, range: 1 - 69 eggs, n = 42 clutches) were, on average, smaller than first clutches (</w:t>
      </w:r>
      <m:oMath>
        <m:acc>
          <m:accPr>
            <m:chr m:val="‾"/>
          </m:accPr>
          <m:e>
            <m:r>
              <m:t>x</m:t>
            </m:r>
          </m:e>
        </m:acc>
      </m:oMath>
      <w:r>
        <w:t xml:space="preserve"> </w:t>
      </w:r>
      <w:r>
        <w:t xml:space="preserve">= 51.55 ± 16.13 eggs, range: 21 - 86 eggs, n = 42 clutches; multivariate mixed model: Estimate [95% CrI] = -0.68 [-0.73, -0.63]). Similarly, egg size was smaller, on average, in second clutches (</w:t>
      </w:r>
      <m:oMath>
        <m:acc>
          <m:accPr>
            <m:chr m:val="‾"/>
          </m:accPr>
          <m:e>
            <m:r>
              <m:t>x</m:t>
            </m:r>
          </m:e>
        </m:acc>
      </m:oMath>
      <w:r>
        <w:t xml:space="preserve"> </w:t>
      </w:r>
      <w:r>
        <w:t xml:space="preserve">= 3.41 ± 0.20 mm, range: 3.11 - 4.11 mm) versus first clutches (</w:t>
      </w:r>
      <m:oMath>
        <m:acc>
          <m:accPr>
            <m:chr m:val="‾"/>
          </m:accPr>
          <m:e>
            <m:r>
              <m:t>x</m:t>
            </m:r>
          </m:e>
        </m:acc>
      </m:oMath>
      <w:r>
        <w:t xml:space="preserve"> </w:t>
      </w:r>
      <w:r>
        <w:t xml:space="preserve">= 3.54 ± 0.21 mm, range: 3.10 - 3.93 mm; Estimate [95% CrI] = -0.92 [-0.96, -0.88]). These findings suggest that larger clutches had, on average, larger eggs, which supports the aforementioned positive within-female correlation. Female pronotum length (body size) was not correlated with either clutch (Estimate [95% CrI] = 0.06 [-0.18, 0.30]) or egg (Estimate [95% CrI] = -0.03 [-0.24, 0.16]) size. ###Egg size exhibited significant repeatability across female broods (</w:t>
      </w:r>
      <w:r>
        <w:rPr>
          <w:i/>
          <w:iCs/>
        </w:rPr>
        <w:t xml:space="preserve">R</w:t>
      </w:r>
      <w:r>
        <w:t xml:space="preserve"> </w:t>
      </w:r>
      <w:r>
        <w:t xml:space="preserve">[95% CI] = 0.40 [0.21, 0.57]) while clutch size did not (</w:t>
      </w:r>
      <w:r>
        <w:rPr>
          <w:i/>
          <w:iCs/>
        </w:rPr>
        <w:t xml:space="preserve">R</w:t>
      </w:r>
      <w:r>
        <w:t xml:space="preserve"> </w:t>
      </w:r>
      <w:r>
        <w:t xml:space="preserve">= 0.03 [0.0, 0.32]).###</w:t>
      </w:r>
    </w:p>
    <w:p>
      <w:pPr>
        <w:pStyle w:val="BodyText"/>
      </w:pPr>
      <w:r>
        <w:t xml:space="preserve">There was no difference in egg size variation between first and second clutches among females (</w:t>
      </w:r>
      <m:oMath>
        <m:r>
          <m:t>Δ</m:t>
        </m:r>
      </m:oMath>
      <w:r>
        <w:rPr>
          <w:i/>
          <w:iCs/>
        </w:rPr>
        <w:t xml:space="preserve">V</w:t>
      </w:r>
      <w:r>
        <w:rPr>
          <w:vertAlign w:val="subscript"/>
        </w:rPr>
        <w:t xml:space="preserve">among</w:t>
      </w:r>
      <w:r>
        <w:t xml:space="preserve"> </w:t>
      </w:r>
      <w:r>
        <w:t xml:space="preserve">[95% CrI] = 0.11 [-0.39, 0.65];</w:t>
      </w:r>
      <w:r>
        <w:t xml:space="preserve"> </w:t>
      </w:r>
      <w:hyperlink w:anchor="fig-two">
        <w:r>
          <w:rPr>
            <w:rStyle w:val="Hyperlink"/>
          </w:rPr>
          <w:t xml:space="preserve">Figure 2</w:t>
        </w:r>
      </w:hyperlink>
      <w:r>
        <w:t xml:space="preserve">) but within-clutch egg size variation was smaller in first than in second clutches (</w:t>
      </w:r>
      <m:oMath>
        <m:r>
          <m:t>Δ</m:t>
        </m:r>
      </m:oMath>
      <w:r>
        <w:rPr>
          <w:i/>
          <w:iCs/>
        </w:rPr>
        <w:t xml:space="preserve">V</w:t>
      </w:r>
      <w:r>
        <w:rPr>
          <w:vertAlign w:val="subscript"/>
        </w:rPr>
        <w:t xml:space="preserve">within</w:t>
      </w:r>
      <w:r>
        <w:t xml:space="preserve"> </w:t>
      </w:r>
      <w:r>
        <w:t xml:space="preserve">[95% CrI] = -0.15 [-0.18, -0.12];</w:t>
      </w:r>
      <w:r>
        <w:t xml:space="preserve"> </w:t>
      </w:r>
      <w:hyperlink w:anchor="fig-two">
        <w:r>
          <w:rPr>
            <w:rStyle w:val="Hyperlink"/>
          </w:rPr>
          <w:t xml:space="preserve">Figure 2</w:t>
        </w:r>
      </w:hyperlink>
      <w:r>
        <w:t xml:space="preserve">). Within-clutch egg size variation (i.e. standard deviation of egg size per clutch) was related to clutch size in first (</w:t>
      </w:r>
      <m:oMath>
        <m:r>
          <m:t>ρ</m:t>
        </m:r>
      </m:oMath>
      <w:r>
        <w:t xml:space="preserve"> </w:t>
      </w:r>
      <w:r>
        <w:t xml:space="preserve">= 0.36, p=0.020) but not in second (</w:t>
      </w:r>
      <m:oMath>
        <m:r>
          <m:t>ρ</m:t>
        </m:r>
      </m:oMath>
      <w:r>
        <w:t xml:space="preserve"> </w:t>
      </w:r>
      <w:r>
        <w:t xml:space="preserve">= -0.14, p=0.401) clutches.</w:t>
      </w:r>
    </w:p>
    <w:bookmarkEnd w:id="25"/>
    <w:bookmarkStart w:id="26" w:name="discussion"/>
    <w:p>
      <w:pPr>
        <w:pStyle w:val="Heading1"/>
      </w:pPr>
      <w:r>
        <w:t xml:space="preserve">Discussion</w:t>
      </w:r>
    </w:p>
    <w:p>
      <w:pPr>
        <w:pStyle w:val="FirstParagraph"/>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[3,8]</w:t>
      </w:r>
      <w:r>
        <w:t xml:space="preserve"> </w:t>
      </w:r>
      <w:r>
        <w:t xml:space="preserve">and contradicting the results of a previous study in this species</w:t>
      </w:r>
      <w:r>
        <w:t xml:space="preserve"> </w:t>
      </w:r>
      <w:r>
        <w:t xml:space="preserve">[28]</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[3,4]</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[- 28]</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[12]</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[29]</w:t>
      </w:r>
      <w:r>
        <w:t xml:space="preserve"> </w:t>
      </w:r>
      <w:r>
        <w:t xml:space="preserve">and with one involving an Italian population</w:t>
      </w:r>
      <w:r>
        <w:t xml:space="preserve"> </w:t>
      </w:r>
      <w:r>
        <w:t xml:space="preserve">[28]</w:t>
      </w:r>
      <w:r>
        <w:t xml:space="preserve">. Tourneur and Gingras</w:t>
      </w:r>
      <w:r>
        <w:t xml:space="preserve"> </w:t>
      </w:r>
      <w:r>
        <w:t xml:space="preserve">[29]</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30,amphibians: 31,reptiles: 32,fish: 33]</w:t>
      </w:r>
      <w:r>
        <w:t xml:space="preserve">. Although this does not appear to be the typical case in insects</w:t>
      </w:r>
      <w:r>
        <w:t xml:space="preserve"> </w:t>
      </w:r>
      <w:r>
        <w:t xml:space="preserve">[34]</w:t>
      </w:r>
      <w:r>
        <w:t xml:space="preserve">, larger eggs are more likely to hatch and to produce larger nymphs in</w:t>
      </w:r>
      <w:r>
        <w:t xml:space="preserve"> </w:t>
      </w:r>
      <w:r>
        <w:rPr>
          <w:i/>
          <w:iCs/>
        </w:rPr>
        <w:t xml:space="preserve">F. auricularia</w:t>
      </w:r>
      <w:r>
        <w:t xml:space="preserve"> </w:t>
      </w:r>
      <w:r>
        <w:t xml:space="preserve">[28]</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[e.g., 35,36]</w:t>
      </w:r>
      <w:r>
        <w:t xml:space="preserve">, and the poor outcomes commonly associated with smaller nymphs might be mitigated by maternal provisioning</w:t>
      </w:r>
      <w:r>
        <w:t xml:space="preserve"> </w:t>
      </w:r>
      <w:r>
        <w:t xml:space="preserve">[15]</w:t>
      </w:r>
      <w:r>
        <w:t xml:space="preserve">. Second, smaller eggs tend to hatch faster as development time is positively related to egg size across animal species</w:t>
      </w:r>
      <w:r>
        <w:t xml:space="preserve"> </w:t>
      </w:r>
      <w:r>
        <w:t xml:space="preserve">[37]</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[28]</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13]</w:t>
      </w:r>
      <w:r>
        <w:t xml:space="preserve">. In other words, some female earwigs in my study population might prioritise investment in egg number versus egg size and vice versa. Taken together, my results resemble Careau and Wilson’s</w:t>
      </w:r>
      <w:r>
        <w:t xml:space="preserve"> </w:t>
      </w:r>
      <w:r>
        <w:t xml:space="preserve">[13]</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38]</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[39]</w:t>
      </w:r>
      <w:r>
        <w:t xml:space="preserve">,</w:t>
      </w:r>
      <w:r>
        <w:t xml:space="preserve"> </w:t>
      </w:r>
      <w:r>
        <w:rPr>
          <w:i/>
          <w:iCs/>
        </w:rPr>
        <w:t xml:space="preserve">Parnara guttata guttata</w:t>
      </w:r>
      <w:r>
        <w:t xml:space="preserve"> </w:t>
      </w:r>
      <w:r>
        <w:t xml:space="preserve">butterflies</w:t>
      </w:r>
      <w:r>
        <w:t xml:space="preserve"> </w:t>
      </w:r>
      <w:r>
        <w:t xml:space="preserve">[40]</w:t>
      </w:r>
      <w:r>
        <w:t xml:space="preserve">,</w:t>
      </w:r>
      <w:r>
        <w:t xml:space="preserve"> </w:t>
      </w:r>
      <w:r>
        <w:rPr>
          <w:i/>
          <w:iCs/>
        </w:rPr>
        <w:t xml:space="preserve">Lobesia botrana</w:t>
      </w:r>
      <w:r>
        <w:t xml:space="preserve"> </w:t>
      </w:r>
      <w:r>
        <w:t xml:space="preserve">moths</w:t>
      </w:r>
      <w:r>
        <w:t xml:space="preserve"> </w:t>
      </w:r>
      <w:r>
        <w:t xml:space="preserve">[41]</w:t>
      </w:r>
      <w:r>
        <w:t xml:space="preserve">, and spruce budworm (</w:t>
      </w:r>
      <w:r>
        <w:rPr>
          <w:i/>
          <w:iCs/>
        </w:rPr>
        <w:t xml:space="preserve">Choristoneura fumiferana</w:t>
      </w:r>
      <w:r>
        <w:t xml:space="preserve">)</w:t>
      </w:r>
      <w:r>
        <w:t xml:space="preserve"> </w:t>
      </w:r>
      <w:r>
        <w:t xml:space="preserve">[42]</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43]</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[43]</w:t>
      </w:r>
      <w:r>
        <w:t xml:space="preserve">, collared flycatchers (</w:t>
      </w:r>
      <w:r>
        <w:rPr>
          <w:i/>
          <w:iCs/>
        </w:rPr>
        <w:t xml:space="preserve">Ficedula albicollis</w:t>
      </w:r>
      <w:r>
        <w:t xml:space="preserve">) produced larger eggs with the laying sequence in favourable conditions</w:t>
      </w:r>
      <w:r>
        <w:t xml:space="preserve"> </w:t>
      </w:r>
      <w:r>
        <w:t xml:space="preserve">[9]</w:t>
      </w:r>
      <w:r>
        <w:t xml:space="preserve">, and blue tits (</w:t>
      </w:r>
      <w:r>
        <w:rPr>
          <w:i/>
          <w:iCs/>
        </w:rPr>
        <w:t xml:space="preserve">Paris caeruleus</w:t>
      </w:r>
      <w:r>
        <w:t xml:space="preserve">) in better nutritional condition had clutches with less variation in egg size</w:t>
      </w:r>
      <w:r>
        <w:t xml:space="preserve"> </w:t>
      </w:r>
      <w:r>
        <w:t xml:space="preserve">[44]</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[45]</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more variable size than first clutches, but the among-female variation in average egg size was similar between the two clutches.</w:t>
      </w:r>
    </w:p>
    <w:bookmarkEnd w:id="26"/>
    <w:bookmarkStart w:id="27" w:name="data-availability"/>
    <w:p>
      <w:pPr>
        <w:pStyle w:val="Heading1"/>
      </w:pPr>
      <w:r>
        <w:t xml:space="preserve">Data availability</w:t>
      </w:r>
    </w:p>
    <w:p>
      <w:pPr>
        <w:pStyle w:val="FirstParagraph"/>
      </w:pPr>
      <w:r>
        <w:t xml:space="preserve">Data are available through the OSF repository at 10.17605/OSF.IO/MFJ8E.</w:t>
      </w:r>
    </w:p>
    <w:bookmarkEnd w:id="27"/>
    <w:bookmarkStart w:id="28" w:name="author-contributions"/>
    <w:p>
      <w:pPr>
        <w:pStyle w:val="Heading1"/>
      </w:pPr>
      <w:r>
        <w:t xml:space="preserve">Author contributions</w:t>
      </w:r>
    </w:p>
    <w:p>
      <w:pPr>
        <w:pStyle w:val="FirstParagraph"/>
      </w:pPr>
      <w:r>
        <w:t xml:space="preserve">CDK collected and analyzed the data, and wrote the manuscript.</w:t>
      </w:r>
    </w:p>
    <w:bookmarkEnd w:id="28"/>
    <w:bookmarkStart w:id="29"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29"/>
    <w:bookmarkStart w:id="30" w:name="conflict-of-interest"/>
    <w:p>
      <w:pPr>
        <w:pStyle w:val="Heading1"/>
      </w:pPr>
      <w:r>
        <w:t xml:space="preserve">Conflict of Interest</w:t>
      </w:r>
    </w:p>
    <w:p>
      <w:pPr>
        <w:pStyle w:val="FirstParagraph"/>
      </w:pPr>
      <w:r>
        <w:t xml:space="preserve">I declare no conflict of interest.</w:t>
      </w:r>
    </w:p>
    <w:bookmarkEnd w:id="30"/>
    <w:bookmarkStart w:id="31"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1"/>
    <w:bookmarkStart w:id="86" w:name="references"/>
    <w:p>
      <w:pPr>
        <w:pStyle w:val="Heading1"/>
      </w:pPr>
      <w:r>
        <w:t xml:space="preserve">References</w:t>
      </w:r>
    </w:p>
    <w:bookmarkStart w:id="77" w:name="refs"/>
    <w:bookmarkStart w:id="32" w:name="ref-clutton-brock1991"/>
    <w:p>
      <w:pPr>
        <w:pStyle w:val="Bibliography"/>
      </w:pPr>
      <w:r>
        <w:t xml:space="preserve">1.</w:t>
      </w:r>
      <w:r>
        <w:t xml:space="preserve"> </w:t>
      </w:r>
      <w:r>
        <w:t xml:space="preserve">	</w:t>
      </w:r>
      <w:r>
        <w:t xml:space="preserve">Clutton-Brock TH. 1991</w:t>
      </w:r>
      <w:r>
        <w:t xml:space="preserve"> </w:t>
      </w:r>
      <w:r>
        <w:rPr>
          <w:i/>
          <w:iCs/>
        </w:rPr>
        <w:t xml:space="preserve">The Evolution of Parental Care</w:t>
      </w:r>
      <w:r>
        <w:t xml:space="preserve">. Princeton University Press.</w:t>
      </w:r>
      <w:r>
        <w:t xml:space="preserve"> </w:t>
      </w:r>
    </w:p>
    <w:bookmarkEnd w:id="32"/>
    <w:bookmarkStart w:id="33" w:name="ref-smith1974"/>
    <w:p>
      <w:pPr>
        <w:pStyle w:val="Bibliography"/>
      </w:pPr>
      <w:r>
        <w:t xml:space="preserve">2.</w:t>
      </w:r>
      <w:r>
        <w:t xml:space="preserve"> </w:t>
      </w:r>
      <w:r>
        <w:t xml:space="preserve">	</w:t>
      </w:r>
      <w:r>
        <w:t xml:space="preserve">Smith CC, Fretwell SD. 1974 The optimal balance between size and number of offspring.</w:t>
      </w:r>
      <w:r>
        <w:t xml:space="preserve"> </w:t>
      </w:r>
      <w:r>
        <w:rPr>
          <w:i/>
          <w:iCs/>
        </w:rPr>
        <w:t xml:space="preserve">Am Nat</w:t>
      </w:r>
      <w:r>
        <w:t xml:space="preserve"> </w:t>
      </w:r>
      <w:r>
        <w:rPr>
          <w:b/>
          <w:bCs/>
        </w:rPr>
        <w:t xml:space="preserve">108</w:t>
      </w:r>
      <w:r>
        <w:t xml:space="preserve">, 499–506.</w:t>
      </w:r>
    </w:p>
    <w:bookmarkEnd w:id="33"/>
    <w:bookmarkStart w:id="34" w:name="ref-roff1992a"/>
    <w:p>
      <w:pPr>
        <w:pStyle w:val="Bibliography"/>
      </w:pPr>
      <w:r>
        <w:t xml:space="preserve">3.</w:t>
      </w:r>
      <w:r>
        <w:t xml:space="preserve"> </w:t>
      </w:r>
      <w:r>
        <w:t xml:space="preserve">	</w:t>
      </w:r>
      <w:r>
        <w:t xml:space="preserve">Roff D. 1992</w:t>
      </w:r>
      <w:r>
        <w:t xml:space="preserve"> </w:t>
      </w:r>
      <w:r>
        <w:rPr>
          <w:i/>
          <w:iCs/>
        </w:rPr>
        <w:t xml:space="preserve">Evolution of Life Histories: Theory and Analysis</w:t>
      </w:r>
      <w:r>
        <w:t xml:space="preserve">. New York, NY: Chapman &amp; Hall, Inc.</w:t>
      </w:r>
      <w:r>
        <w:t xml:space="preserve"> </w:t>
      </w:r>
    </w:p>
    <w:bookmarkEnd w:id="34"/>
    <w:bookmarkStart w:id="35" w:name="ref-fox2000"/>
    <w:p>
      <w:pPr>
        <w:pStyle w:val="Bibliography"/>
      </w:pPr>
      <w:r>
        <w:t xml:space="preserve">4.</w:t>
      </w:r>
      <w:r>
        <w:t xml:space="preserve"> </w:t>
      </w:r>
      <w:r>
        <w:t xml:space="preserve">	</w:t>
      </w:r>
      <w:r>
        <w:t xml:space="preserve">Fox CW, Czesak ME. 2000 Evolutionary ecology of progeny size in arthropods.</w:t>
      </w:r>
      <w:r>
        <w:t xml:space="preserve"> </w:t>
      </w:r>
      <w:r>
        <w:rPr>
          <w:i/>
          <w:iCs/>
        </w:rPr>
        <w:t xml:space="preserve">Annu Rev Entomol</w:t>
      </w:r>
      <w:r>
        <w:t xml:space="preserve"> </w:t>
      </w:r>
      <w:r>
        <w:rPr>
          <w:b/>
          <w:bCs/>
        </w:rPr>
        <w:t xml:space="preserve">45</w:t>
      </w:r>
      <w:r>
        <w:t xml:space="preserve">, 341–369.</w:t>
      </w:r>
    </w:p>
    <w:bookmarkEnd w:id="35"/>
    <w:bookmarkStart w:id="36" w:name="ref-parker1982"/>
    <w:p>
      <w:pPr>
        <w:pStyle w:val="Bibliography"/>
      </w:pPr>
      <w:r>
        <w:t xml:space="preserve">5.</w:t>
      </w:r>
      <w:r>
        <w:t xml:space="preserve"> </w:t>
      </w:r>
      <w:r>
        <w:t xml:space="preserve">	</w:t>
      </w:r>
      <w:r>
        <w:t xml:space="preserve">Parker GA. 1982 Why are there so many tiny sperm? Sperm competition and the maintenance of two sexes.</w:t>
      </w:r>
      <w:r>
        <w:t xml:space="preserve"> </w:t>
      </w:r>
      <w:r>
        <w:rPr>
          <w:i/>
          <w:iCs/>
        </w:rPr>
        <w:t xml:space="preserve">J Theor Biol</w:t>
      </w:r>
      <w:r>
        <w:t xml:space="preserve"> </w:t>
      </w:r>
      <w:r>
        <w:rPr>
          <w:b/>
          <w:bCs/>
        </w:rPr>
        <w:t xml:space="preserve">96</w:t>
      </w:r>
      <w:r>
        <w:t xml:space="preserve">, 281–294.</w:t>
      </w:r>
    </w:p>
    <w:bookmarkEnd w:id="36"/>
    <w:bookmarkStart w:id="37" w:name="ref-cavaleiro2014"/>
    <w:p>
      <w:pPr>
        <w:pStyle w:val="Bibliography"/>
      </w:pPr>
      <w:r>
        <w:t xml:space="preserve">6.</w:t>
      </w:r>
      <w:r>
        <w:t xml:space="preserve"> </w:t>
      </w:r>
      <w:r>
        <w:t xml:space="preserve">	</w:t>
      </w:r>
      <w:r>
        <w:t xml:space="preserve">Cavaleiro FI, Santos MJ. 2014 Egg number-egg size: An important trade-off in parasite life history strategies.</w:t>
      </w:r>
      <w:r>
        <w:t xml:space="preserve"> </w:t>
      </w:r>
      <w:r>
        <w:rPr>
          <w:i/>
          <w:iCs/>
        </w:rPr>
        <w:t xml:space="preserve">Int J Parasitol</w:t>
      </w:r>
      <w:r>
        <w:t xml:space="preserve"> </w:t>
      </w:r>
      <w:r>
        <w:rPr>
          <w:b/>
          <w:bCs/>
        </w:rPr>
        <w:t xml:space="preserve">44</w:t>
      </w:r>
      <w:r>
        <w:t xml:space="preserve">, 173–182.</w:t>
      </w:r>
    </w:p>
    <w:bookmarkEnd w:id="37"/>
    <w:bookmarkStart w:id="38" w:name="ref-bernardo1996"/>
    <w:p>
      <w:pPr>
        <w:pStyle w:val="Bibliography"/>
      </w:pPr>
      <w:r>
        <w:t xml:space="preserve">7.</w:t>
      </w:r>
      <w:r>
        <w:t xml:space="preserve"> </w:t>
      </w:r>
      <w:r>
        <w:t xml:space="preserve">	</w:t>
      </w:r>
      <w:r>
        <w:t xml:space="preserve">Bernardo J. 1996 The particular maternal effect of propagule size, especially egg size: Patterns, models, quality of evidence and interpretations.</w:t>
      </w:r>
      <w:r>
        <w:t xml:space="preserve"> </w:t>
      </w:r>
      <w:r>
        <w:rPr>
          <w:i/>
          <w:iCs/>
        </w:rPr>
        <w:t xml:space="preserve">Am Zool</w:t>
      </w:r>
      <w:r>
        <w:t xml:space="preserve"> </w:t>
      </w:r>
      <w:r>
        <w:rPr>
          <w:b/>
          <w:bCs/>
        </w:rPr>
        <w:t xml:space="preserve">36</w:t>
      </w:r>
      <w:r>
        <w:t xml:space="preserve">, 216–236.</w:t>
      </w:r>
    </w:p>
    <w:bookmarkEnd w:id="38"/>
    <w:bookmarkStart w:id="39" w:name="ref-stearns1992"/>
    <w:p>
      <w:pPr>
        <w:pStyle w:val="Bibliography"/>
      </w:pPr>
      <w:r>
        <w:t xml:space="preserve">8.</w:t>
      </w:r>
      <w:r>
        <w:t xml:space="preserve"> </w:t>
      </w:r>
      <w:r>
        <w:t xml:space="preserve">	</w:t>
      </w:r>
      <w:r>
        <w:t xml:space="preserve">Stearns SC. 1992</w:t>
      </w:r>
      <w:r>
        <w:t xml:space="preserve"> </w:t>
      </w:r>
      <w:r>
        <w:rPr>
          <w:i/>
          <w:iCs/>
        </w:rPr>
        <w:t xml:space="preserve">The Evolution of Life Histories</w:t>
      </w:r>
      <w:r>
        <w:t xml:space="preserve">. Oxford University Press.</w:t>
      </w:r>
      <w:r>
        <w:t xml:space="preserve"> </w:t>
      </w:r>
    </w:p>
    <w:bookmarkEnd w:id="39"/>
    <w:bookmarkStart w:id="40" w:name="ref-hargitai2005"/>
    <w:p>
      <w:pPr>
        <w:pStyle w:val="Bibliography"/>
      </w:pPr>
      <w:r>
        <w:t xml:space="preserve">9.</w:t>
      </w:r>
      <w:r>
        <w:t xml:space="preserve"> </w:t>
      </w:r>
      <w:r>
        <w:t xml:space="preserve">	</w:t>
      </w:r>
      <w:r>
        <w:t xml:space="preserve">Hargitai R, Török J, Tóth L, Hegyi G, Rosivall B, Szigeti B, Szöllősi E. 2005 Effects of environmental conditions and parental quality on inter-and intraclutch egg-size variation in the collared flycatcher (ficedula albicollis).</w:t>
      </w:r>
      <w:r>
        <w:t xml:space="preserve"> </w:t>
      </w:r>
      <w:r>
        <w:rPr>
          <w:i/>
          <w:iCs/>
        </w:rPr>
        <w:t xml:space="preserve">The Auk</w:t>
      </w:r>
      <w:r>
        <w:t xml:space="preserve"> </w:t>
      </w:r>
      <w:r>
        <w:rPr>
          <w:b/>
          <w:bCs/>
        </w:rPr>
        <w:t xml:space="preserve">122</w:t>
      </w:r>
      <w:r>
        <w:t xml:space="preserve">, 509–522.</w:t>
      </w:r>
    </w:p>
    <w:bookmarkEnd w:id="40"/>
    <w:bookmarkStart w:id="41" w:name="ref-reznick2000"/>
    <w:p>
      <w:pPr>
        <w:pStyle w:val="Bibliography"/>
      </w:pPr>
      <w:r>
        <w:t xml:space="preserve">10.</w:t>
      </w:r>
      <w:r>
        <w:t xml:space="preserve"> </w:t>
      </w:r>
      <w:r>
        <w:t xml:space="preserve">	</w:t>
      </w:r>
      <w:r>
        <w:t xml:space="preserve">Reznick D, Nunney L, Tessier A. 2000 Big houses, big cars, superfleas and the costs of reproduction.</w:t>
      </w:r>
      <w:r>
        <w:t xml:space="preserve"> </w:t>
      </w:r>
      <w:r>
        <w:rPr>
          <w:i/>
          <w:iCs/>
        </w:rPr>
        <w:t xml:space="preserve">Trends Ecol Evol</w:t>
      </w:r>
      <w:r>
        <w:t xml:space="preserve"> </w:t>
      </w:r>
      <w:r>
        <w:rPr>
          <w:b/>
          <w:bCs/>
        </w:rPr>
        <w:t xml:space="preserve">15</w:t>
      </w:r>
      <w:r>
        <w:t xml:space="preserve">, 421–425.</w:t>
      </w:r>
    </w:p>
    <w:bookmarkEnd w:id="41"/>
    <w:bookmarkStart w:id="42" w:name="ref-vannoordwijk1986"/>
    <w:p>
      <w:pPr>
        <w:pStyle w:val="Bibliography"/>
      </w:pPr>
      <w:r>
        <w:t xml:space="preserve">11.</w:t>
      </w:r>
      <w:r>
        <w:t xml:space="preserve"> </w:t>
      </w:r>
      <w:r>
        <w:t xml:space="preserve">	</w:t>
      </w:r>
      <w:r>
        <w:t xml:space="preserve">Van Noordwijk AJ, Jong G de. 1986 Acquisition and allocation of resources: Their influence on variation in life history tactics.</w:t>
      </w:r>
      <w:r>
        <w:t xml:space="preserve"> </w:t>
      </w:r>
      <w:r>
        <w:rPr>
          <w:i/>
          <w:iCs/>
        </w:rPr>
        <w:t xml:space="preserve">Am Nat</w:t>
      </w:r>
      <w:r>
        <w:t xml:space="preserve"> </w:t>
      </w:r>
      <w:r>
        <w:rPr>
          <w:b/>
          <w:bCs/>
        </w:rPr>
        <w:t xml:space="preserve">128</w:t>
      </w:r>
      <w:r>
        <w:t xml:space="preserve">, 137–142.</w:t>
      </w:r>
    </w:p>
    <w:bookmarkEnd w:id="42"/>
    <w:bookmarkStart w:id="43" w:name="ref-simpson1951"/>
    <w:p>
      <w:pPr>
        <w:pStyle w:val="Bibliography"/>
      </w:pPr>
      <w:r>
        <w:t xml:space="preserve">12.</w:t>
      </w:r>
      <w:r>
        <w:t xml:space="preserve"> </w:t>
      </w:r>
      <w:r>
        <w:t xml:space="preserve">	</w:t>
      </w:r>
      <w:r>
        <w:t xml:space="preserve">Simpson EH. 1951 The interpretation of interaction in contingency tables.</w:t>
      </w:r>
      <w:r>
        <w:t xml:space="preserve"> </w:t>
      </w:r>
      <w:r>
        <w:rPr>
          <w:i/>
          <w:iCs/>
        </w:rPr>
        <w:t xml:space="preserve">Journal of the Royal Statistical Society: Series B (Methodological)</w:t>
      </w:r>
      <w:r>
        <w:t xml:space="preserve"> </w:t>
      </w:r>
      <w:r>
        <w:rPr>
          <w:b/>
          <w:bCs/>
        </w:rPr>
        <w:t xml:space="preserve">13</w:t>
      </w:r>
      <w:r>
        <w:t xml:space="preserve">, 238–241.</w:t>
      </w:r>
    </w:p>
    <w:bookmarkEnd w:id="43"/>
    <w:bookmarkStart w:id="44" w:name="ref-careau2017"/>
    <w:p>
      <w:pPr>
        <w:pStyle w:val="Bibliography"/>
      </w:pPr>
      <w:r>
        <w:t xml:space="preserve">13.</w:t>
      </w:r>
      <w:r>
        <w:t xml:space="preserve"> </w:t>
      </w:r>
      <w:r>
        <w:t xml:space="preserve">	</w:t>
      </w:r>
      <w:r>
        <w:t xml:space="preserve">Careau V, Wilson R. 2017 Of uberfleas and krakens: Detecting trade-offs using mixed models.</w:t>
      </w:r>
      <w:r>
        <w:t xml:space="preserve"> </w:t>
      </w:r>
      <w:r>
        <w:rPr>
          <w:i/>
          <w:iCs/>
        </w:rPr>
        <w:t xml:space="preserve">Integr Comp Biol</w:t>
      </w:r>
      <w:r>
        <w:t xml:space="preserve"> </w:t>
      </w:r>
      <w:r>
        <w:rPr>
          <w:b/>
          <w:bCs/>
        </w:rPr>
        <w:t xml:space="preserve">57</w:t>
      </w:r>
      <w:r>
        <w:t xml:space="preserve">, 362–371.</w:t>
      </w:r>
    </w:p>
    <w:bookmarkEnd w:id="44"/>
    <w:bookmarkStart w:id="45" w:name="ref-meunier2024"/>
    <w:p>
      <w:pPr>
        <w:pStyle w:val="Bibliography"/>
      </w:pPr>
      <w:r>
        <w:t xml:space="preserve">14.</w:t>
      </w:r>
      <w:r>
        <w:t xml:space="preserve"> </w:t>
      </w:r>
      <w:r>
        <w:t xml:space="preserve">	</w:t>
      </w:r>
      <w:r>
        <w:t xml:space="preserve">Meunier J. 2024 The biology and social life of earwigs (dermaptera).</w:t>
      </w:r>
      <w:r>
        <w:t xml:space="preserve"> </w:t>
      </w:r>
      <w:r>
        <w:rPr>
          <w:i/>
          <w:iCs/>
        </w:rPr>
        <w:t xml:space="preserve">Annu Rev Entomol</w:t>
      </w:r>
      <w:r>
        <w:t xml:space="preserve"> </w:t>
      </w:r>
      <w:r>
        <w:rPr>
          <w:b/>
          <w:bCs/>
        </w:rPr>
        <w:t xml:space="preserve">69</w:t>
      </w:r>
      <w:r>
        <w:t xml:space="preserve">, 259–276.</w:t>
      </w:r>
    </w:p>
    <w:bookmarkEnd w:id="45"/>
    <w:bookmarkStart w:id="46" w:name="ref-staerkle2008"/>
    <w:p>
      <w:pPr>
        <w:pStyle w:val="Bibliography"/>
      </w:pPr>
      <w:r>
        <w:t xml:space="preserve">15.</w:t>
      </w:r>
      <w:r>
        <w:t xml:space="preserve"> </w:t>
      </w:r>
      <w:r>
        <w:t xml:space="preserve">	</w:t>
      </w:r>
      <w:r>
        <w:t xml:space="preserve">Staerkle M, Kölliker M. 2008 Maternal food regurgitation to nymphs in earwigs (</w:t>
      </w:r>
      <w:r>
        <w:rPr>
          <w:i/>
          <w:iCs/>
        </w:rPr>
        <w:t xml:space="preserve">forficula auricularia</w:t>
      </w:r>
      <w:r>
        <w:t xml:space="preserve">).</w:t>
      </w:r>
      <w:r>
        <w:t xml:space="preserve"> </w:t>
      </w:r>
      <w:r>
        <w:rPr>
          <w:i/>
          <w:iCs/>
        </w:rPr>
        <w:t xml:space="preserve">Ethology</w:t>
      </w:r>
      <w:r>
        <w:t xml:space="preserve"> </w:t>
      </w:r>
      <w:r>
        <w:rPr>
          <w:b/>
          <w:bCs/>
        </w:rPr>
        <w:t xml:space="preserve">114</w:t>
      </w:r>
      <w:r>
        <w:t xml:space="preserve">, 844–850.</w:t>
      </w:r>
    </w:p>
    <w:bookmarkEnd w:id="46"/>
    <w:bookmarkStart w:id="47" w:name="ref-tourneur2018"/>
    <w:p>
      <w:pPr>
        <w:pStyle w:val="Bibliography"/>
      </w:pPr>
      <w:r>
        <w:t xml:space="preserve">16.</w:t>
      </w:r>
      <w:r>
        <w:t xml:space="preserve"> </w:t>
      </w:r>
      <w:r>
        <w:t xml:space="preserve">	</w:t>
      </w: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w:t>
      </w:r>
      <w:r>
        <w:t xml:space="preserve"> </w:t>
      </w:r>
      <w:r>
        <w:rPr>
          <w:i/>
          <w:iCs/>
        </w:rPr>
        <w:t xml:space="preserve">The Canadian Entomologist</w:t>
      </w:r>
      <w:r>
        <w:t xml:space="preserve"> </w:t>
      </w:r>
      <w:r>
        <w:rPr>
          <w:b/>
          <w:bCs/>
        </w:rPr>
        <w:t xml:space="preserve">150</w:t>
      </w:r>
      <w:r>
        <w:t xml:space="preserve">, 511–519.</w:t>
      </w:r>
    </w:p>
    <w:bookmarkEnd w:id="47"/>
    <w:bookmarkStart w:id="48" w:name="ref-winkler1987"/>
    <w:p>
      <w:pPr>
        <w:pStyle w:val="Bibliography"/>
      </w:pPr>
      <w:r>
        <w:t xml:space="preserve">17.</w:t>
      </w:r>
      <w:r>
        <w:t xml:space="preserve"> </w:t>
      </w:r>
      <w:r>
        <w:t xml:space="preserve">	</w:t>
      </w:r>
      <w:r>
        <w:t xml:space="preserve">Winkler DW, Wallin K. 1987 Offspring size and number: A life history model linking effort per offspring and total effort.</w:t>
      </w:r>
      <w:r>
        <w:t xml:space="preserve"> </w:t>
      </w:r>
      <w:r>
        <w:rPr>
          <w:i/>
          <w:iCs/>
        </w:rPr>
        <w:t xml:space="preserve">Am Nat</w:t>
      </w:r>
      <w:r>
        <w:t xml:space="preserve"> </w:t>
      </w:r>
      <w:r>
        <w:rPr>
          <w:b/>
          <w:bCs/>
        </w:rPr>
        <w:t xml:space="preserve">129</w:t>
      </w:r>
      <w:r>
        <w:t xml:space="preserve">, 708–720.</w:t>
      </w:r>
    </w:p>
    <w:bookmarkEnd w:id="48"/>
    <w:bookmarkStart w:id="49" w:name="ref-clutton-brock1984"/>
    <w:p>
      <w:pPr>
        <w:pStyle w:val="Bibliography"/>
      </w:pPr>
      <w:r>
        <w:t xml:space="preserve">18.</w:t>
      </w:r>
      <w:r>
        <w:t xml:space="preserve"> </w:t>
      </w:r>
      <w:r>
        <w:t xml:space="preserve">	</w:t>
      </w:r>
      <w:r>
        <w:t xml:space="preserve">Clutton-Brock TH. 1984 Reproductive effort and terminal investment in iteroparous animals.</w:t>
      </w:r>
      <w:r>
        <w:t xml:space="preserve"> </w:t>
      </w:r>
      <w:r>
        <w:rPr>
          <w:i/>
          <w:iCs/>
        </w:rPr>
        <w:t xml:space="preserve">Am Nat</w:t>
      </w:r>
      <w:r>
        <w:t xml:space="preserve"> </w:t>
      </w:r>
      <w:r>
        <w:rPr>
          <w:b/>
          <w:bCs/>
        </w:rPr>
        <w:t xml:space="preserve">123</w:t>
      </w:r>
      <w:r>
        <w:t xml:space="preserve">, 212–229.</w:t>
      </w:r>
    </w:p>
    <w:bookmarkEnd w:id="49"/>
    <w:bookmarkStart w:id="50" w:name="ref-schindelin2012"/>
    <w:p>
      <w:pPr>
        <w:pStyle w:val="Bibliography"/>
      </w:pPr>
      <w:r>
        <w:t xml:space="preserve">19.</w:t>
      </w:r>
      <w:r>
        <w:t xml:space="preserve"> </w:t>
      </w:r>
      <w:r>
        <w:t xml:space="preserve">	</w:t>
      </w:r>
      <w:r>
        <w:t xml:space="preserve">Schindelin J</w:t>
      </w:r>
      <w:r>
        <w:t xml:space="preserve"> </w:t>
      </w:r>
      <w:r>
        <w:rPr>
          <w:i/>
          <w:iCs/>
        </w:rPr>
        <w:t xml:space="preserve">et al.</w:t>
      </w:r>
      <w:r>
        <w:t xml:space="preserve"> 2012 Fiji: An open-source platform for biological-image analysis.</w:t>
      </w:r>
      <w:r>
        <w:t xml:space="preserve"> </w:t>
      </w:r>
      <w:r>
        <w:rPr>
          <w:i/>
          <w:iCs/>
        </w:rPr>
        <w:t xml:space="preserve">Nat Methods</w:t>
      </w:r>
      <w:r>
        <w:t xml:space="preserve"> </w:t>
      </w:r>
      <w:r>
        <w:rPr>
          <w:b/>
          <w:bCs/>
        </w:rPr>
        <w:t xml:space="preserve">9</w:t>
      </w:r>
      <w:r>
        <w:t xml:space="preserve">, 676–682.</w:t>
      </w:r>
    </w:p>
    <w:bookmarkEnd w:id="50"/>
    <w:bookmarkStart w:id="51" w:name="ref-stoffel2017"/>
    <w:p>
      <w:pPr>
        <w:pStyle w:val="Bibliography"/>
      </w:pPr>
      <w:r>
        <w:t xml:space="preserve">20.</w:t>
      </w:r>
      <w:r>
        <w:t xml:space="preserve"> </w:t>
      </w:r>
      <w:r>
        <w:t xml:space="preserve">	</w:t>
      </w:r>
      <w:r>
        <w:t xml:space="preserve">Stoffel MA, Nakagawa S, Schielzeth H. 2017 Rpt</w:t>
      </w:r>
      <w:r>
        <w:t xml:space="preserve">R</w:t>
      </w:r>
      <w:r>
        <w:t xml:space="preserve">: Repeatability estimation and variance decomposition by generalized linear mixed‐effects models.</w:t>
      </w:r>
      <w:r>
        <w:t xml:space="preserve"> </w:t>
      </w:r>
      <w:r>
        <w:rPr>
          <w:i/>
          <w:iCs/>
        </w:rPr>
        <w:t xml:space="preserve">Methods Ecol Evol</w:t>
      </w:r>
      <w:r>
        <w:t xml:space="preserve"> </w:t>
      </w:r>
      <w:r>
        <w:rPr>
          <w:b/>
          <w:bCs/>
        </w:rPr>
        <w:t xml:space="preserve">8</w:t>
      </w:r>
      <w:r>
        <w:t xml:space="preserve">, 1639–1644.</w:t>
      </w:r>
    </w:p>
    <w:bookmarkEnd w:id="51"/>
    <w:bookmarkStart w:id="52" w:name="ref-r2013"/>
    <w:p>
      <w:pPr>
        <w:pStyle w:val="Bibliography"/>
      </w:pPr>
      <w:r>
        <w:t xml:space="preserve">21.</w:t>
      </w:r>
      <w:r>
        <w:t xml:space="preserve"> </w:t>
      </w:r>
      <w:r>
        <w:t xml:space="preserve">	</w:t>
      </w: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w:t>
      </w:r>
      <w:r>
        <w:t xml:space="preserve"> </w:t>
      </w:r>
    </w:p>
    <w:bookmarkEnd w:id="52"/>
    <w:bookmarkStart w:id="53" w:name="ref-peig2009"/>
    <w:p>
      <w:pPr>
        <w:pStyle w:val="Bibliography"/>
      </w:pPr>
      <w:r>
        <w:t xml:space="preserve">22.</w:t>
      </w:r>
      <w:r>
        <w:t xml:space="preserve"> </w:t>
      </w:r>
      <w:r>
        <w:t xml:space="preserve">	</w:t>
      </w:r>
      <w:r>
        <w:t xml:space="preserve">Peig J, Green AJ. 2009 New perspectives for estimating body condition from mass/length data: The scaled mass index as an alternative method.</w:t>
      </w:r>
      <w:r>
        <w:t xml:space="preserve"> </w:t>
      </w:r>
      <w:r>
        <w:rPr>
          <w:i/>
          <w:iCs/>
        </w:rPr>
        <w:t xml:space="preserve">Oikos</w:t>
      </w:r>
      <w:r>
        <w:t xml:space="preserve"> </w:t>
      </w:r>
      <w:r>
        <w:rPr>
          <w:b/>
          <w:bCs/>
        </w:rPr>
        <w:t xml:space="preserve">118</w:t>
      </w:r>
      <w:r>
        <w:t xml:space="preserve">, 1883–1891.</w:t>
      </w:r>
    </w:p>
    <w:bookmarkEnd w:id="53"/>
    <w:bookmarkStart w:id="54" w:name="ref-peig2010"/>
    <w:p>
      <w:pPr>
        <w:pStyle w:val="Bibliography"/>
      </w:pPr>
      <w:r>
        <w:t xml:space="preserve">23.</w:t>
      </w:r>
      <w:r>
        <w:t xml:space="preserve"> </w:t>
      </w:r>
      <w:r>
        <w:t xml:space="preserve">	</w:t>
      </w:r>
      <w:r>
        <w:t xml:space="preserve">Peig J, Green AJ. 2010 The paradigm of body condition: A critical reappraisal of current methods based on mass and length.</w:t>
      </w:r>
      <w:r>
        <w:t xml:space="preserve"> </w:t>
      </w:r>
      <w:r>
        <w:rPr>
          <w:i/>
          <w:iCs/>
        </w:rPr>
        <w:t xml:space="preserve">Funct Ecol</w:t>
      </w:r>
      <w:r>
        <w:t xml:space="preserve"> </w:t>
      </w:r>
      <w:r>
        <w:rPr>
          <w:b/>
          <w:bCs/>
        </w:rPr>
        <w:t xml:space="preserve">24</w:t>
      </w:r>
      <w:r>
        <w:t xml:space="preserve">, 1323–1332.</w:t>
      </w:r>
    </w:p>
    <w:bookmarkEnd w:id="54"/>
    <w:bookmarkStart w:id="55" w:name="ref-kelly2014"/>
    <w:p>
      <w:pPr>
        <w:pStyle w:val="Bibliography"/>
      </w:pPr>
      <w:r>
        <w:t xml:space="preserve">24.</w:t>
      </w:r>
      <w:r>
        <w:t xml:space="preserve"> </w:t>
      </w:r>
      <w:r>
        <w:t xml:space="preserve">	</w:t>
      </w:r>
      <w:r>
        <w:t xml:space="preserve">Kelly CD, Tawes B, Worthington A. 2014 Evaluating indices of body condition in two cricket species.</w:t>
      </w:r>
      <w:r>
        <w:t xml:space="preserve"> </w:t>
      </w:r>
      <w:r>
        <w:rPr>
          <w:i/>
          <w:iCs/>
        </w:rPr>
        <w:t xml:space="preserve">Ecology and Evolution</w:t>
      </w:r>
      <w:r>
        <w:t xml:space="preserve"> </w:t>
      </w:r>
      <w:r>
        <w:rPr>
          <w:b/>
          <w:bCs/>
        </w:rPr>
        <w:t xml:space="preserve">4</w:t>
      </w:r>
      <w:r>
        <w:t xml:space="preserve">, 4476–4487.</w:t>
      </w:r>
    </w:p>
    <w:bookmarkEnd w:id="55"/>
    <w:bookmarkStart w:id="56" w:name="ref-burkner2017"/>
    <w:p>
      <w:pPr>
        <w:pStyle w:val="Bibliography"/>
      </w:pPr>
      <w:r>
        <w:t xml:space="preserve">25.</w:t>
      </w:r>
      <w:r>
        <w:t xml:space="preserve"> </w:t>
      </w:r>
      <w:r>
        <w:t xml:space="preserve">	</w:t>
      </w: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 </w:t>
      </w:r>
      <w:r>
        <w:rPr>
          <w:b/>
          <w:bCs/>
        </w:rPr>
        <w:t xml:space="preserve">80</w:t>
      </w:r>
      <w:r>
        <w:t xml:space="preserve">, 4308.</w:t>
      </w:r>
    </w:p>
    <w:bookmarkEnd w:id="56"/>
    <w:bookmarkStart w:id="57" w:name="ref-honek1993"/>
    <w:p>
      <w:pPr>
        <w:pStyle w:val="Bibliography"/>
      </w:pPr>
      <w:r>
        <w:t xml:space="preserve">26.</w:t>
      </w:r>
      <w:r>
        <w:t xml:space="preserve"> </w:t>
      </w:r>
      <w:r>
        <w:t xml:space="preserve">	</w:t>
      </w:r>
      <w:r>
        <w:t xml:space="preserve">Honek A. 1993 Intraspecific variation in body size and fecundity in insects: A general relationship.</w:t>
      </w:r>
      <w:r>
        <w:t xml:space="preserve"> </w:t>
      </w:r>
      <w:r>
        <w:rPr>
          <w:i/>
          <w:iCs/>
        </w:rPr>
        <w:t xml:space="preserve">Oikos</w:t>
      </w:r>
      <w:r>
        <w:t xml:space="preserve">, 483–492.</w:t>
      </w:r>
    </w:p>
    <w:bookmarkEnd w:id="57"/>
    <w:bookmarkStart w:id="58" w:name="ref-vehtari2017"/>
    <w:p>
      <w:pPr>
        <w:pStyle w:val="Bibliography"/>
      </w:pPr>
      <w:r>
        <w:t xml:space="preserve">27.</w:t>
      </w:r>
      <w:r>
        <w:t xml:space="preserve"> </w:t>
      </w:r>
      <w:r>
        <w:t xml:space="preserve">	</w:t>
      </w:r>
      <w:r>
        <w:t xml:space="preserve">Vehtari A, Gelman A, Gabry J. 2017 Practical</w:t>
      </w:r>
      <w:r>
        <w:t xml:space="preserve"> </w:t>
      </w:r>
      <w:r>
        <w:t xml:space="preserve">B</w:t>
      </w:r>
      <w:r>
        <w:t xml:space="preserve">ayesian model evaluation using leave-one-out cross-validation and</w:t>
      </w:r>
      <w:r>
        <w:t xml:space="preserve"> </w:t>
      </w:r>
      <w:r>
        <w:t xml:space="preserve">WAIC</w:t>
      </w:r>
      <w:r>
        <w:t xml:space="preserve">.</w:t>
      </w:r>
      <w:r>
        <w:t xml:space="preserve"> </w:t>
      </w:r>
      <w:r>
        <w:rPr>
          <w:i/>
          <w:iCs/>
        </w:rPr>
        <w:t xml:space="preserve">Statistics and Computing</w:t>
      </w:r>
      <w:r>
        <w:t xml:space="preserve"> </w:t>
      </w:r>
      <w:r>
        <w:rPr>
          <w:b/>
          <w:bCs/>
        </w:rPr>
        <w:t xml:space="preserve">27</w:t>
      </w:r>
      <w:r>
        <w:t xml:space="preserve">, 1413–1432.</w:t>
      </w:r>
    </w:p>
    <w:bookmarkEnd w:id="58"/>
    <w:bookmarkStart w:id="59" w:name="ref-koch2014"/>
    <w:p>
      <w:pPr>
        <w:pStyle w:val="Bibliography"/>
      </w:pPr>
      <w:r>
        <w:t xml:space="preserve">28.</w:t>
      </w:r>
      <w:r>
        <w:t xml:space="preserve"> </w:t>
      </w:r>
      <w:r>
        <w:t xml:space="preserve">	</w:t>
      </w:r>
      <w:r>
        <w:t xml:space="preserve">Koch LK, Meunier J. 2014 Mother and offspring fitness in an insect with maternal care: Phenotypic trade-offs between egg number, egg mass and egg care.</w:t>
      </w:r>
      <w:r>
        <w:t xml:space="preserve"> </w:t>
      </w:r>
      <w:r>
        <w:rPr>
          <w:i/>
          <w:iCs/>
        </w:rPr>
        <w:t xml:space="preserve">BMC Evol Biol</w:t>
      </w:r>
      <w:r>
        <w:t xml:space="preserve"> </w:t>
      </w:r>
      <w:r>
        <w:rPr>
          <w:b/>
          <w:bCs/>
        </w:rPr>
        <w:t xml:space="preserve">14</w:t>
      </w:r>
      <w:r>
        <w:t xml:space="preserve">, 125.</w:t>
      </w:r>
    </w:p>
    <w:bookmarkEnd w:id="59"/>
    <w:bookmarkStart w:id="60" w:name="ref-tourneur1992"/>
    <w:p>
      <w:pPr>
        <w:pStyle w:val="Bibliography"/>
      </w:pPr>
      <w:r>
        <w:t xml:space="preserve">29.</w:t>
      </w:r>
      <w:r>
        <w:t xml:space="preserve"> </w:t>
      </w:r>
      <w:r>
        <w:t xml:space="preserve">	</w:t>
      </w:r>
      <w:r>
        <w:t xml:space="preserve">Tourneur J-C, Gingras J.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w:t>
      </w:r>
      <w:r>
        <w:t xml:space="preserve"> </w:t>
      </w:r>
      <w:r>
        <w:rPr>
          <w:i/>
          <w:iCs/>
        </w:rPr>
        <w:t xml:space="preserve">The Canadian Entomologist</w:t>
      </w:r>
      <w:r>
        <w:t xml:space="preserve"> </w:t>
      </w:r>
      <w:r>
        <w:rPr>
          <w:b/>
          <w:bCs/>
        </w:rPr>
        <w:t xml:space="preserve">124</w:t>
      </w:r>
      <w:r>
        <w:t xml:space="preserve">, 1055–1061.</w:t>
      </w:r>
    </w:p>
    <w:bookmarkEnd w:id="60"/>
    <w:bookmarkStart w:id="61" w:name="ref-williams1994"/>
    <w:p>
      <w:pPr>
        <w:pStyle w:val="Bibliography"/>
      </w:pPr>
      <w:r>
        <w:t xml:space="preserve">30.</w:t>
      </w:r>
      <w:r>
        <w:t xml:space="preserve"> </w:t>
      </w:r>
      <w:r>
        <w:t xml:space="preserve">	</w:t>
      </w:r>
      <w:r>
        <w:t xml:space="preserve">Williams TD. 1994 Intraspecific variation in egg size and egg composition in birds: Effects on offspring fitness.</w:t>
      </w:r>
      <w:r>
        <w:t xml:space="preserve"> </w:t>
      </w:r>
      <w:r>
        <w:rPr>
          <w:i/>
          <w:iCs/>
        </w:rPr>
        <w:t xml:space="preserve">Biol Rev Camb Philos Soc</w:t>
      </w:r>
      <w:r>
        <w:t xml:space="preserve"> </w:t>
      </w:r>
      <w:r>
        <w:rPr>
          <w:b/>
          <w:bCs/>
        </w:rPr>
        <w:t xml:space="preserve">69</w:t>
      </w:r>
      <w:r>
        <w:t xml:space="preserve">, 35–59.</w:t>
      </w:r>
    </w:p>
    <w:bookmarkEnd w:id="61"/>
    <w:bookmarkStart w:id="62" w:name="ref-ficetola2009"/>
    <w:p>
      <w:pPr>
        <w:pStyle w:val="Bibliography"/>
      </w:pPr>
      <w:r>
        <w:t xml:space="preserve">31.</w:t>
      </w:r>
      <w:r>
        <w:t xml:space="preserve"> </w:t>
      </w:r>
      <w:r>
        <w:t xml:space="preserve">	</w:t>
      </w:r>
      <w:r>
        <w:t xml:space="preserve">Ficetola GF, De Bernardi F. 2009 Offspring size and survival in the frog rana latastei: From among-population to within-clutch variation.</w:t>
      </w:r>
      <w:r>
        <w:t xml:space="preserve"> </w:t>
      </w:r>
      <w:r>
        <w:rPr>
          <w:i/>
          <w:iCs/>
        </w:rPr>
        <w:t xml:space="preserve">Biol J Linn Soc</w:t>
      </w:r>
      <w:r>
        <w:t xml:space="preserve"> </w:t>
      </w:r>
      <w:r>
        <w:rPr>
          <w:b/>
          <w:bCs/>
        </w:rPr>
        <w:t xml:space="preserve">97</w:t>
      </w:r>
      <w:r>
        <w:t xml:space="preserve">, 845–853.</w:t>
      </w:r>
    </w:p>
    <w:bookmarkEnd w:id="62"/>
    <w:bookmarkStart w:id="63" w:name="ref-nelson2004"/>
    <w:p>
      <w:pPr>
        <w:pStyle w:val="Bibliography"/>
      </w:pPr>
      <w:r>
        <w:t xml:space="preserve">32.</w:t>
      </w:r>
      <w:r>
        <w:t xml:space="preserve"> </w:t>
      </w:r>
      <w:r>
        <w:t xml:space="preserve">	</w:t>
      </w:r>
      <w:r>
        <w:t xml:space="preserve">Nelson NJ, Thompson MB, Pledger S, Keall SN, Daugherty CH. 2004 Egg mass determines hatchling size, and incubation temperature influences post‐hatching growth, of tuatara sphenodon punctatus.</w:t>
      </w:r>
      <w:r>
        <w:t xml:space="preserve"> </w:t>
      </w:r>
      <w:r>
        <w:rPr>
          <w:i/>
          <w:iCs/>
        </w:rPr>
        <w:t xml:space="preserve">J Zool</w:t>
      </w:r>
      <w:r>
        <w:t xml:space="preserve"> </w:t>
      </w:r>
      <w:r>
        <w:rPr>
          <w:b/>
          <w:bCs/>
        </w:rPr>
        <w:t xml:space="preserve">263</w:t>
      </w:r>
      <w:r>
        <w:t xml:space="preserve">, 77–87.</w:t>
      </w:r>
    </w:p>
    <w:bookmarkEnd w:id="63"/>
    <w:bookmarkStart w:id="64" w:name="ref-einum2000"/>
    <w:p>
      <w:pPr>
        <w:pStyle w:val="Bibliography"/>
      </w:pPr>
      <w:r>
        <w:t xml:space="preserve">33.</w:t>
      </w:r>
      <w:r>
        <w:t xml:space="preserve"> </w:t>
      </w:r>
      <w:r>
        <w:t xml:space="preserve">	</w:t>
      </w:r>
      <w:r>
        <w:t xml:space="preserve">Einum S, Fleming IA. 2000 Highly fecund mothers sacrifice offspring survival to maximize fitness.</w:t>
      </w:r>
      <w:r>
        <w:t xml:space="preserve"> </w:t>
      </w:r>
      <w:r>
        <w:rPr>
          <w:i/>
          <w:iCs/>
        </w:rPr>
        <w:t xml:space="preserve">Nature</w:t>
      </w:r>
      <w:r>
        <w:t xml:space="preserve"> </w:t>
      </w:r>
      <w:r>
        <w:rPr>
          <w:b/>
          <w:bCs/>
        </w:rPr>
        <w:t xml:space="preserve">405</w:t>
      </w:r>
      <w:r>
        <w:t xml:space="preserve">, 565–567.</w:t>
      </w:r>
    </w:p>
    <w:bookmarkEnd w:id="64"/>
    <w:bookmarkStart w:id="65" w:name="ref-church2019"/>
    <w:p>
      <w:pPr>
        <w:pStyle w:val="Bibliography"/>
      </w:pPr>
      <w:r>
        <w:t xml:space="preserve">34.</w:t>
      </w:r>
      <w:r>
        <w:t xml:space="preserve"> </w:t>
      </w:r>
      <w:r>
        <w:t xml:space="preserve">	</w:t>
      </w:r>
      <w:r>
        <w:t xml:space="preserve">Church SH, Donoughe S, Medeiros BAS de, Extavour CG. 2019 Insect egg size and shape evolve with ecology but not developmental rate.</w:t>
      </w:r>
      <w:r>
        <w:t xml:space="preserve"> </w:t>
      </w:r>
      <w:r>
        <w:rPr>
          <w:i/>
          <w:iCs/>
        </w:rPr>
        <w:t xml:space="preserve">Nature</w:t>
      </w:r>
      <w:r>
        <w:t xml:space="preserve"> </w:t>
      </w:r>
      <w:r>
        <w:rPr>
          <w:b/>
          <w:bCs/>
        </w:rPr>
        <w:t xml:space="preserve">571</w:t>
      </w:r>
      <w:r>
        <w:t xml:space="preserve">, 58–62.</w:t>
      </w:r>
    </w:p>
    <w:bookmarkEnd w:id="65"/>
    <w:bookmarkStart w:id="66" w:name="ref-kolliker2007"/>
    <w:p>
      <w:pPr>
        <w:pStyle w:val="Bibliography"/>
      </w:pPr>
      <w:r>
        <w:t xml:space="preserve">35.</w:t>
      </w:r>
      <w:r>
        <w:t xml:space="preserve"> </w:t>
      </w:r>
      <w:r>
        <w:t xml:space="preserve">	</w:t>
      </w:r>
      <w:r>
        <w:t xml:space="preserve">Kölliker M. 2007 Benefits and costs of earwig (forficula auricularia) family life.</w:t>
      </w:r>
      <w:r>
        <w:t xml:space="preserve"> </w:t>
      </w:r>
      <w:r>
        <w:rPr>
          <w:i/>
          <w:iCs/>
        </w:rPr>
        <w:t xml:space="preserve">Behav Ecol Sociobiol</w:t>
      </w:r>
      <w:r>
        <w:t xml:space="preserve"> </w:t>
      </w:r>
      <w:r>
        <w:rPr>
          <w:b/>
          <w:bCs/>
        </w:rPr>
        <w:t xml:space="preserve">61</w:t>
      </w:r>
      <w:r>
        <w:t xml:space="preserve">, 1489–1497.</w:t>
      </w:r>
    </w:p>
    <w:bookmarkEnd w:id="66"/>
    <w:bookmarkStart w:id="67" w:name="ref-boos2014"/>
    <w:p>
      <w:pPr>
        <w:pStyle w:val="Bibliography"/>
      </w:pPr>
      <w:r>
        <w:t xml:space="preserve">36.</w:t>
      </w:r>
      <w:r>
        <w:t xml:space="preserve"> </w:t>
      </w:r>
      <w:r>
        <w:t xml:space="preserve">	</w:t>
      </w:r>
      <w:r>
        <w:t xml:space="preserve">Boos S, Meunier J, Pichon S, Kölliker M. 2014 Maternal care provides antifungal protection to eggs in the european earwig.</w:t>
      </w:r>
      <w:r>
        <w:t xml:space="preserve"> </w:t>
      </w:r>
      <w:r>
        <w:rPr>
          <w:i/>
          <w:iCs/>
        </w:rPr>
        <w:t xml:space="preserve">Behav Ecol</w:t>
      </w:r>
      <w:r>
        <w:t xml:space="preserve"> </w:t>
      </w:r>
      <w:r>
        <w:rPr>
          <w:b/>
          <w:bCs/>
        </w:rPr>
        <w:t xml:space="preserve">25</w:t>
      </w:r>
      <w:r>
        <w:t xml:space="preserve">, 754–761.</w:t>
      </w:r>
    </w:p>
    <w:bookmarkEnd w:id="67"/>
    <w:bookmarkStart w:id="68" w:name="ref-shine1978"/>
    <w:p>
      <w:pPr>
        <w:pStyle w:val="Bibliography"/>
      </w:pPr>
      <w:r>
        <w:t xml:space="preserve">37.</w:t>
      </w:r>
      <w:r>
        <w:t xml:space="preserve"> </w:t>
      </w:r>
      <w:r>
        <w:t xml:space="preserve">	</w:t>
      </w:r>
      <w:r>
        <w:t xml:space="preserve">Shine R. 1978 Propagule size and parental care: The</w:t>
      </w:r>
      <w:r>
        <w:t xml:space="preserve"> </w:t>
      </w:r>
      <w:r>
        <w:t xml:space="preserve">‘safe harbor’</w:t>
      </w:r>
      <w:r>
        <w:t xml:space="preserve"> </w:t>
      </w:r>
      <w:r>
        <w:t xml:space="preserve">hypothesis.</w:t>
      </w:r>
      <w:r>
        <w:t xml:space="preserve"> </w:t>
      </w:r>
      <w:r>
        <w:rPr>
          <w:i/>
          <w:iCs/>
        </w:rPr>
        <w:t xml:space="preserve">J Theor Biol</w:t>
      </w:r>
      <w:r>
        <w:t xml:space="preserve"> </w:t>
      </w:r>
      <w:r>
        <w:rPr>
          <w:b/>
          <w:bCs/>
        </w:rPr>
        <w:t xml:space="preserve">75</w:t>
      </w:r>
      <w:r>
        <w:t xml:space="preserve">, 417–424.</w:t>
      </w:r>
    </w:p>
    <w:bookmarkEnd w:id="68"/>
    <w:bookmarkStart w:id="69" w:name="ref-falconer1996"/>
    <w:p>
      <w:pPr>
        <w:pStyle w:val="Bibliography"/>
      </w:pPr>
      <w:r>
        <w:t xml:space="preserve">38.</w:t>
      </w:r>
      <w:r>
        <w:t xml:space="preserve"> </w:t>
      </w:r>
      <w:r>
        <w:t xml:space="preserve">	</w:t>
      </w:r>
      <w:r>
        <w:t xml:space="preserve">Falconer DS, MacKay TFC. 1996</w:t>
      </w:r>
      <w:r>
        <w:t xml:space="preserve"> </w:t>
      </w:r>
      <w:r>
        <w:rPr>
          <w:i/>
          <w:iCs/>
        </w:rPr>
        <w:t xml:space="preserve">An Introduction Quantitative Genetics</w:t>
      </w:r>
      <w:r>
        <w:t xml:space="preserve">. Essex, England: Pearson Education Limited.</w:t>
      </w:r>
      <w:r>
        <w:t xml:space="preserve"> </w:t>
      </w:r>
    </w:p>
    <w:bookmarkEnd w:id="69"/>
    <w:bookmarkStart w:id="70" w:name="ref-yanagi2006"/>
    <w:p>
      <w:pPr>
        <w:pStyle w:val="Bibliography"/>
      </w:pPr>
      <w:r>
        <w:t xml:space="preserve">39.</w:t>
      </w:r>
      <w:r>
        <w:t xml:space="preserve"> </w:t>
      </w:r>
      <w:r>
        <w:t xml:space="preserve">	</w:t>
      </w:r>
      <w:r>
        <w:t xml:space="preserve">Yanagi S, Oikawa T, Miyatake T. 2006 Heritability and genetic correlation estimates for egg size and number in callosobruchus chinensis (coleoptera: bruchidae).</w:t>
      </w:r>
      <w:r>
        <w:t xml:space="preserve"> </w:t>
      </w:r>
      <w:r>
        <w:rPr>
          <w:i/>
          <w:iCs/>
        </w:rPr>
        <w:t xml:space="preserve">Ann Entomol Soc Am</w:t>
      </w:r>
      <w:r>
        <w:t xml:space="preserve"> </w:t>
      </w:r>
      <w:r>
        <w:rPr>
          <w:b/>
          <w:bCs/>
        </w:rPr>
        <w:t xml:space="preserve">99</w:t>
      </w:r>
      <w:r>
        <w:t xml:space="preserve">, 364–368.</w:t>
      </w:r>
    </w:p>
    <w:bookmarkEnd w:id="70"/>
    <w:bookmarkStart w:id="71" w:name="ref-seko2006"/>
    <w:p>
      <w:pPr>
        <w:pStyle w:val="Bibliography"/>
      </w:pPr>
      <w:r>
        <w:t xml:space="preserve">40.</w:t>
      </w:r>
      <w:r>
        <w:t xml:space="preserve"> </w:t>
      </w:r>
      <w:r>
        <w:t xml:space="preserve">	</w:t>
      </w:r>
      <w:r>
        <w:t xml:space="preserve">Seko T, Miyatake T, Fujioka S, Nakasuji F. 2006 Genetic and environmental sources of egg size, fecundity and body size in the migrant skipper, parnara guttata guttata (lepidoptera: hesperiidae).</w:t>
      </w:r>
      <w:r>
        <w:t xml:space="preserve"> </w:t>
      </w:r>
      <w:r>
        <w:rPr>
          <w:i/>
          <w:iCs/>
        </w:rPr>
        <w:t xml:space="preserve">Popul Ecol</w:t>
      </w:r>
      <w:r>
        <w:t xml:space="preserve"> </w:t>
      </w:r>
      <w:r>
        <w:rPr>
          <w:b/>
          <w:bCs/>
        </w:rPr>
        <w:t xml:space="preserve">48</w:t>
      </w:r>
      <w:r>
        <w:t xml:space="preserve">, 225–232.</w:t>
      </w:r>
    </w:p>
    <w:bookmarkEnd w:id="71"/>
    <w:bookmarkStart w:id="72" w:name="ref-torres-vila2012"/>
    <w:p>
      <w:pPr>
        <w:pStyle w:val="Bibliography"/>
      </w:pPr>
      <w:r>
        <w:t xml:space="preserve">41.</w:t>
      </w:r>
      <w:r>
        <w:t xml:space="preserve"> </w:t>
      </w:r>
      <w:r>
        <w:t xml:space="preserve">	</w:t>
      </w:r>
      <w:r>
        <w:t xml:space="preserve">Torres-Vila L, Cruces-Caldera E, Rodrı́guez-Molina M, Cauterruccio L. 2012 Host plant selects for egg size in the moth lobesia botrana: Integrating reproductive and ecological trade-offs is not a simple matter. In</w:t>
      </w:r>
      <w:r>
        <w:t xml:space="preserve"> </w:t>
      </w:r>
      <w:r>
        <w:rPr>
          <w:i/>
          <w:iCs/>
        </w:rPr>
        <w:t xml:space="preserve">Moths: Types, ecological significance and control methods</w:t>
      </w:r>
      <w:r>
        <w:t xml:space="preserve"> </w:t>
      </w:r>
      <w:r>
        <w:t xml:space="preserve">(ed L Cauterruccio), pp. 145–167. New York, NY: Nova Science Publishers.</w:t>
      </w:r>
      <w:r>
        <w:t xml:space="preserve"> </w:t>
      </w:r>
    </w:p>
    <w:bookmarkEnd w:id="72"/>
    <w:bookmarkStart w:id="73" w:name="ref-harvey1983"/>
    <w:p>
      <w:pPr>
        <w:pStyle w:val="Bibliography"/>
      </w:pPr>
      <w:r>
        <w:t xml:space="preserve">42.</w:t>
      </w:r>
      <w:r>
        <w:t xml:space="preserve"> </w:t>
      </w:r>
      <w:r>
        <w:t xml:space="preserve">	</w:t>
      </w:r>
      <w:r>
        <w:t xml:space="preserve">Harvey GT. 1983 Environmental and genetic effects on mean egg weight in spruce budworm (lepidoptera: tortricidae).</w:t>
      </w:r>
      <w:r>
        <w:t xml:space="preserve"> </w:t>
      </w:r>
      <w:r>
        <w:rPr>
          <w:i/>
          <w:iCs/>
        </w:rPr>
        <w:t xml:space="preserve">The Canadian Entomologist</w:t>
      </w:r>
      <w:r>
        <w:t xml:space="preserve"> </w:t>
      </w:r>
      <w:r>
        <w:rPr>
          <w:b/>
          <w:bCs/>
        </w:rPr>
        <w:t xml:space="preserve">115</w:t>
      </w:r>
      <w:r>
        <w:t xml:space="preserve">, 1109–1117.</w:t>
      </w:r>
    </w:p>
    <w:bookmarkEnd w:id="73"/>
    <w:bookmarkStart w:id="74" w:name="ref-yosef2008"/>
    <w:p>
      <w:pPr>
        <w:pStyle w:val="Bibliography"/>
      </w:pPr>
      <w:r>
        <w:t xml:space="preserve">43.</w:t>
      </w:r>
      <w:r>
        <w:t xml:space="preserve"> </w:t>
      </w:r>
      <w:r>
        <w:t xml:space="preserve">	</w:t>
      </w:r>
      <w:r>
        <w:t xml:space="preserve">Yosef R, Zduniak P. 2008 Variation in clutch size, egg size variability and reproductive output in the desert finch (rhodospiza obsoleta).</w:t>
      </w:r>
      <w:r>
        <w:t xml:space="preserve"> </w:t>
      </w:r>
      <w:r>
        <w:rPr>
          <w:i/>
          <w:iCs/>
        </w:rPr>
        <w:t xml:space="preserve">J Arid Environ</w:t>
      </w:r>
      <w:r>
        <w:t xml:space="preserve"> </w:t>
      </w:r>
      <w:r>
        <w:rPr>
          <w:b/>
          <w:bCs/>
        </w:rPr>
        <w:t xml:space="preserve">72</w:t>
      </w:r>
      <w:r>
        <w:t xml:space="preserve">, 1631–1635.</w:t>
      </w:r>
    </w:p>
    <w:bookmarkEnd w:id="74"/>
    <w:bookmarkStart w:id="75" w:name="ref-nilsson1993"/>
    <w:p>
      <w:pPr>
        <w:pStyle w:val="Bibliography"/>
      </w:pPr>
      <w:r>
        <w:t xml:space="preserve">44.</w:t>
      </w:r>
      <w:r>
        <w:t xml:space="preserve"> </w:t>
      </w:r>
      <w:r>
        <w:t xml:space="preserve">	</w:t>
      </w:r>
      <w:r>
        <w:t xml:space="preserve">Nilsson J‐Å, Svensson E. 1993 Causes and consequences of egg mass variation between and within blue tit clutches.</w:t>
      </w:r>
      <w:r>
        <w:t xml:space="preserve"> </w:t>
      </w:r>
      <w:r>
        <w:rPr>
          <w:i/>
          <w:iCs/>
        </w:rPr>
        <w:t xml:space="preserve">J Zool</w:t>
      </w:r>
      <w:r>
        <w:t xml:space="preserve"> </w:t>
      </w:r>
      <w:r>
        <w:rPr>
          <w:b/>
          <w:bCs/>
        </w:rPr>
        <w:t xml:space="preserve">230</w:t>
      </w:r>
      <w:r>
        <w:t xml:space="preserve">, 469–481.</w:t>
      </w:r>
    </w:p>
    <w:bookmarkEnd w:id="75"/>
    <w:bookmarkStart w:id="76" w:name="ref-slagsvold1984"/>
    <w:p>
      <w:pPr>
        <w:pStyle w:val="Bibliography"/>
      </w:pPr>
      <w:r>
        <w:t xml:space="preserve">45.</w:t>
      </w:r>
      <w:r>
        <w:t xml:space="preserve"> </w:t>
      </w:r>
      <w:r>
        <w:t xml:space="preserve">	</w:t>
      </w:r>
      <w:r>
        <w:t xml:space="preserve">Slagsvold T, Sandvik J, Rofstad G, Lorentsen Ö, Husby M. 1984 On the adaptive value of intraclutch egg-size variation in birds.</w:t>
      </w:r>
      <w:r>
        <w:t xml:space="preserve"> </w:t>
      </w:r>
      <w:r>
        <w:rPr>
          <w:i/>
          <w:iCs/>
        </w:rPr>
        <w:t xml:space="preserve">The Auk</w:t>
      </w:r>
      <w:r>
        <w:t xml:space="preserve"> </w:t>
      </w:r>
      <w:r>
        <w:rPr>
          <w:b/>
          <w:bCs/>
        </w:rPr>
        <w:t xml:space="preserve">101</w:t>
      </w:r>
      <w:r>
        <w:t xml:space="preserve">, 685–697.</w:t>
      </w:r>
    </w:p>
    <w:bookmarkEnd w:id="76"/>
    <w:bookmarkEnd w:id="77"/>
    <w:p>
      <w:pPr>
        <w:sectPr>
          <w:pgMar w:header="708" w:bottom="1417" w:top="1417" w:right="1417" w:left="1417" w:footer="708" w:gutter="0"/>
          <w:pgSz w:h="16838" w:w="11906" w:orient="portrait"/>
          <w:type w:val="continuous"/>
          <w:cols/>
        </w:sectPr>
      </w:pPr>
    </w:p>
    <w:p>
      <w:r>
        <w:br w:type="page"/>
      </w:r>
    </w:p>
    <w:p>
      <w:pPr>
        <w:pStyle w:val="BodyText"/>
      </w:pPr>
      <w:r>
        <w:t xml:space="preserve">)</w:t>
      </w:r>
      <w:r>
        <w:t xml:space="preserve"> </w:t>
      </w:r>
      <w:r>
        <w:t xml:space="preserve">)</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1" w:name="fig-one"/>
          <w:p>
            <w:pPr>
              <w:pStyle w:val="Compact"/>
              <w:jc w:val="center"/>
            </w:pPr>
            <w:r>
              <w:drawing>
                <wp:inline>
                  <wp:extent cx="3810000" cy="2540000"/>
                  <wp:effectExtent b="0" l="0" r="0" t="0"/>
                  <wp:docPr descr="" title="" id="79" name="Picture"/>
                  <a:graphic>
                    <a:graphicData uri="http://schemas.openxmlformats.org/drawingml/2006/picture">
                      <pic:pic>
                        <pic:nvPicPr>
                          <pic:cNvPr descr="figure_1.jp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egg perimeter (mm) plotted against clutch size for the first (salmon) and second (blue) clutches of n = 42 female European earwigs (</w:t>
            </w:r>
            <w:r>
              <w:rPr>
                <w:i/>
                <w:iCs/>
              </w:rPr>
              <w:t xml:space="preserve">F. auricularia</w:t>
            </w:r>
            <w:r>
              <w:t xml:space="preserve">). Data are raw values.</w:t>
            </w:r>
          </w:p>
          <w:bookmarkEnd w:id="8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 w:name="fig-two"/>
          <w:p>
            <w:pPr>
              <w:pStyle w:val="Compact"/>
              <w:jc w:val="center"/>
            </w:pPr>
            <w:r>
              <w:drawing>
                <wp:inline>
                  <wp:extent cx="3810000" cy="2540000"/>
                  <wp:effectExtent b="0" l="0" r="0" t="0"/>
                  <wp:docPr descr="" title="" id="83" name="Picture"/>
                  <a:graphic>
                    <a:graphicData uri="http://schemas.openxmlformats.org/drawingml/2006/picture">
                      <pic:pic>
                        <pic:nvPicPr>
                          <pic:cNvPr descr="figure_2.jpg" id="84" name="Picture"/>
                          <pic:cNvPicPr>
                            <a:picLocks noChangeArrowheads="1" noChangeAspect="1"/>
                          </pic:cNvPicPr>
                        </pic:nvPicPr>
                        <pic:blipFill>
                          <a:blip r:embed="rId82"/>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Among and (b) within-female egg size variation in the first and second clutches of n = 42 female European earwigs (</w:t>
            </w:r>
            <w:r>
              <w:rPr>
                <w:i/>
                <w:iCs/>
              </w:rPr>
              <w:t xml:space="preserve">F. auricularia</w:t>
            </w:r>
            <w:r>
              <w:t xml:space="preserve">).</w:t>
            </w:r>
          </w:p>
          <w:bookmarkEnd w:id="85"/>
        </w:tc>
      </w:tr>
    </w:tbl>
    <w:bookmarkEnd w:id="86"/>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2025-12-15T20:28:34Z</dcterms:created>
  <dcterms:modified xsi:type="dcterms:W3CDTF">2025-12-15T20:28:34Z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proceedings-of-the-royal-society-b.csl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