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Supplemental Material: Disentangling within- and between-female egg size–number trade-offs in the European earwig</w:t>
      </w:r>
    </w:p>
    <w:p>
      <w:pPr>
        <w:pStyle w:val="Author"/>
      </w:pPr>
      <w:r>
        <w:t xml:space="preserve">Clint D. Kelly</w:t>
      </w:r>
      <w:r>
        <w:rPr>
          <w:vertAlign w:val="superscript"/>
        </w:rPr>
        <w:t xml:space="preserve">1,✉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Département des Sciences biologiques, Université du Québec à Montréal, Montréal, Canada</w:t>
      </w:r>
    </w:p>
    <w:p>
      <w:pPr>
        <w:pStyle w:val="BodyText"/>
      </w:pPr>
      <w:r>
        <w:rPr>
          <w:vertAlign w:val="superscript"/>
        </w:rPr>
        <w:t xml:space="preserve">✉</w:t>
      </w:r>
      <w:r>
        <w:t xml:space="preserve"> </w:t>
      </w:r>
      <w:r>
        <w:t xml:space="preserve">Correspondence:</w:t>
      </w:r>
      <w:r>
        <w:t xml:space="preserve"> </w:t>
      </w:r>
      <w:hyperlink r:id="rId20">
        <w:r>
          <w:rPr>
            <w:rStyle w:val="Hyperlink"/>
          </w:rPr>
          <w:t xml:space="preserve">Clint D. Kelly &lt;kelly.clint@uqam.ca&gt;</w:t>
        </w:r>
      </w:hyperlink>
    </w:p>
    <w:p>
      <w:r>
        <w:br w:type="page"/>
      </w:r>
    </w:p>
    <w:bookmarkStart w:id="36" w:name="withinbetween-multivariate-model"/>
    <w:p>
      <w:pPr>
        <w:pStyle w:val="Heading2"/>
      </w:pPr>
      <w:r>
        <w:t xml:space="preserve">Within–between multivariate model</w:t>
      </w:r>
    </w:p>
    <w:p>
      <w:pPr>
        <w:pStyle w:val="FirstParagraph"/>
      </w:pPr>
      <w:r>
        <w:t xml:space="preserve">To partition covariance arising from within-female plasticity from covariance attributable to consistent among-female differences, I applied the within–between decomposition of can de Pol and Wright</w:t>
      </w:r>
      <w:r>
        <w:t xml:space="preserve"> </w:t>
      </w:r>
      <w:r>
        <w:t xml:space="preserve">(Pol and Wright 2009)</w:t>
      </w:r>
      <w:r>
        <w:t xml:space="preserve">. Although mean-centering can impose assumptions about underlying biological processes</w:t>
      </w:r>
      <w:r>
        <w:t xml:space="preserve"> </w:t>
      </w:r>
      <w:r>
        <w:t xml:space="preserve">(Westneat et al. 2020)</w:t>
      </w:r>
      <w:r>
        <w:t xml:space="preserve">, these assumptions are appropriate here because the aim was to distinguish plastic allocation within females from persistent differences among females.</w:t>
      </w:r>
    </w:p>
    <w:p>
      <w:pPr>
        <w:pStyle w:val="BodyText"/>
      </w:pPr>
      <w:r>
        <w:t xml:space="preserve">Let egg number for female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brood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denoted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Egg number was decomposed as</w:t>
      </w:r>
    </w:p>
    <w:p>
      <w:pPr>
        <w:pStyle w:val="BodyText"/>
      </w:pPr>
      <w:bookmarkStart w:id="21" w:name="eq-decomposition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1"/>
    </w:p>
    <w:p>
      <w:pPr>
        <w:pStyle w:val="FirstParagraph"/>
      </w:pPr>
      <w:r>
        <w:t xml:space="preserve">The between- and within-female components were defined as</w:t>
      </w:r>
    </w:p>
    <w:p>
      <w:pPr>
        <w:pStyle w:val="BodyText"/>
      </w:pPr>
      <w:bookmarkStart w:id="22" w:name="eq-between"/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N</m:t>
              </m:r>
            </m:e>
          </m:acc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2"/>
    </w:p>
    <w:p>
      <w:pPr>
        <w:pStyle w:val="FirstParagraph"/>
      </w:pPr>
      <w:bookmarkStart w:id="23" w:name="eq-within"/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i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</m:e>
          </m:d>
        </m:oMath>
      </m:oMathPara>
      <w:bookmarkEnd w:id="23"/>
    </w:p>
    <w:bookmarkStart w:id="27" w:name="egg-number-submodel"/>
    <w:p>
      <w:pPr>
        <w:pStyle w:val="Heading3"/>
      </w:pPr>
      <w:r>
        <w:t xml:space="preserve">Egg number submodel</w:t>
      </w:r>
    </w:p>
    <w:p>
      <w:pPr>
        <w:pStyle w:val="FirstParagraph"/>
      </w:pPr>
      <w:r>
        <w:t xml:space="preserve">Egg number was modelled using a negative binomial distribution with a log link:</w:t>
      </w:r>
    </w:p>
    <w:p>
      <w:pPr>
        <w:pStyle w:val="BodyText"/>
      </w:pPr>
      <w:bookmarkStart w:id="24" w:name="eq-nb_dist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rPr>
              <m:sty m:val="p"/>
            </m:rPr>
            <m:t>e</m:t>
          </m:r>
          <m:r>
            <m:rPr>
              <m:sty m:val="p"/>
            </m:rPr>
            <m:t>g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θ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</m:e>
          </m:d>
        </m:oMath>
      </m:oMathPara>
      <w:bookmarkEnd w:id="24"/>
    </w:p>
    <w:p>
      <w:pPr>
        <w:pStyle w:val="FirstParagraph"/>
      </w:pPr>
      <w:bookmarkStart w:id="25" w:name="eq-nb_link"/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0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N</m:t>
              </m:r>
            </m:sup>
          </m:sSubSu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N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</w:p>
    <w:p>
      <w:pPr>
        <w:pStyle w:val="BodyText"/>
      </w:pPr>
      <w:bookmarkStart w:id="26" w:name="eq-nb_random"/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</m:t>
              </m:r>
            </m:e>
          </m:d>
        </m:oMath>
      </m:oMathPara>
      <w:bookmarkEnd w:id="26"/>
    </w:p>
    <w:bookmarkEnd w:id="27"/>
    <w:bookmarkStart w:id="31" w:name="mean-egg-size-submodel"/>
    <w:p>
      <w:pPr>
        <w:pStyle w:val="Heading3"/>
      </w:pPr>
      <w:r>
        <w:t xml:space="preserve">Mean egg size submodel</w:t>
      </w:r>
    </w:p>
    <w:p>
      <w:pPr>
        <w:pStyle w:val="FirstParagraph"/>
      </w:pPr>
      <w:r>
        <w:t xml:space="preserve">Mean egg size was modelled as</w:t>
      </w:r>
    </w:p>
    <w:p>
      <w:pPr>
        <w:pStyle w:val="BodyText"/>
      </w:pPr>
      <w:bookmarkStart w:id="28" w:name="eq-gauss_dist"/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</m:t>
              </m:r>
            </m:e>
          </m:d>
        </m:oMath>
      </m:oMathPara>
      <w:bookmarkEnd w:id="28"/>
    </w:p>
    <w:p>
      <w:pPr>
        <w:pStyle w:val="FirstParagraph"/>
      </w:pPr>
      <w:bookmarkStart w:id="29" w:name="eq-gauss_link"/>
      <m:oMathPara>
        <m:oMathParaPr>
          <m:jc m:val="center"/>
        </m:oMathParaPr>
        <m:oMath>
          <m:sSubSup>
            <m:e>
              <m:r>
                <m:t>μ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0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S</m:t>
              </m:r>
            </m:sup>
          </m:sSubSu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W</m:t>
              </m:r>
            </m:sub>
          </m:sSub>
          <m:sSubSup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sSubSup>
            <m:e>
              <m:r>
                <m:t>N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S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</m:e>
          </m:d>
        </m:oMath>
      </m:oMathPara>
      <w:bookmarkEnd w:id="29"/>
    </w:p>
    <w:p>
      <w:pPr>
        <w:pStyle w:val="FirstParagraph"/>
      </w:pPr>
      <w:r>
        <w:t xml:space="preserve">with</w:t>
      </w:r>
    </w:p>
    <w:p>
      <w:pPr>
        <w:pStyle w:val="BodyText"/>
      </w:pPr>
      <w:bookmarkStart w:id="30" w:name="eq-gauss_random"/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d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</m:e>
          </m:d>
        </m:oMath>
      </m:oMathPara>
      <w:bookmarkEnd w:id="30"/>
    </w:p>
    <w:bookmarkEnd w:id="31"/>
    <w:bookmarkStart w:id="35" w:name="multivariate-structure"/>
    <w:p>
      <w:pPr>
        <w:pStyle w:val="Heading3"/>
      </w:pPr>
      <w:r>
        <w:t xml:space="preserve">Multivariate structure</w:t>
      </w:r>
    </w:p>
    <w:p>
      <w:pPr>
        <w:pStyle w:val="FirstParagraph"/>
      </w:pPr>
      <w:r>
        <w:t xml:space="preserve">The two submodels were fit jointly:</w:t>
      </w:r>
    </w:p>
    <w:p>
      <w:pPr>
        <w:pStyle w:val="BodyText"/>
      </w:pPr>
      <w:bookmarkStart w:id="32" w:name="eq-mvn"/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  <m:sup>
                        <m:r>
                          <m:t>S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M</m:t>
          </m:r>
          <m:r>
            <m:rPr>
              <m:sty m:val="p"/>
              <m:scr m:val="script"/>
            </m:rPr>
            <m:t>V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Σ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</m:e>
          </m:d>
        </m:oMath>
      </m:oMathPara>
      <w:bookmarkEnd w:id="32"/>
    </w:p>
    <w:p>
      <w:pPr>
        <w:pStyle w:val="FirstParagraph"/>
      </w:pPr>
      <w:r>
        <w:t xml:space="preserve">where</w:t>
      </w:r>
    </w:p>
    <w:p>
      <w:pPr>
        <w:pStyle w:val="BodyText"/>
      </w:pPr>
      <w:bookmarkStart w:id="33" w:name="eq-sigma_matrix"/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  <m:r>
                          <m:t>S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  <m:r>
                          <m:t>S</m:t>
                        </m:r>
                      </m:sub>
                    </m:sSub>
                  </m:e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  <m:r>
                          <m:t>d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</m:t>
              </m:r>
            </m:e>
          </m:d>
        </m:oMath>
      </m:oMathPara>
      <w:bookmarkEnd w:id="33"/>
    </w:p>
    <w:p>
      <w:pPr>
        <w:pStyle w:val="FirstParagraph"/>
      </w:pPr>
      <w:r>
        <w:t xml:space="preserve">The intercept correlation is</w:t>
      </w:r>
    </w:p>
    <w:p>
      <w:pPr>
        <w:pStyle w:val="BodyText"/>
      </w:pPr>
      <w:bookmarkStart w:id="34" w:name="eq-intercept_corr"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N</m:t>
                  </m:r>
                  <m:r>
                    <m:t>S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sSubSup>
                    <m:e>
                      <m:r>
                        <m:t>σ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t>d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</m:t>
              </m:r>
            </m:e>
          </m:d>
        </m:oMath>
      </m:oMathPara>
      <w:bookmarkEnd w:id="34"/>
    </w:p>
    <w:bookmarkEnd w:id="35"/>
    <w:bookmarkEnd w:id="36"/>
    <w:bookmarkStart w:id="49" w:name="X0f816ef2495b00e8a187e8ee26189908fbc39c6"/>
    <w:p>
      <w:pPr>
        <w:pStyle w:val="Heading2"/>
      </w:pPr>
      <w:r>
        <w:t xml:space="preserve">Relationship between model parameters and total phenotypic covariance</w:t>
      </w:r>
    </w:p>
    <w:p>
      <w:pPr>
        <w:pStyle w:val="FirstParagraph"/>
      </w:pPr>
      <w:r>
        <w:t xml:space="preserve">Total phenotypic covariance can be partitioned as</w:t>
      </w:r>
    </w:p>
    <w:p>
      <w:pPr>
        <w:pStyle w:val="BodyText"/>
      </w:pPr>
      <w:bookmarkStart w:id="37" w:name="eq-cov_partition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13</m:t>
              </m:r>
            </m:e>
          </m:d>
        </m:oMath>
      </m:oMathPara>
      <w:bookmarkEnd w:id="37"/>
    </w:p>
    <w:bookmarkStart w:id="39" w:name="within-female-covariance"/>
    <w:p>
      <w:pPr>
        <w:pStyle w:val="Heading3"/>
      </w:pPr>
      <w:r>
        <w:t xml:space="preserve">Within-female covariance</w:t>
      </w:r>
    </w:p>
    <w:p>
      <w:pPr>
        <w:pStyle w:val="FirstParagraph"/>
      </w:pPr>
      <w:bookmarkStart w:id="38" w:name="eq-cov_within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W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W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14</m:t>
              </m:r>
            </m:e>
          </m:d>
        </m:oMath>
      </m:oMathPara>
      <w:bookmarkEnd w:id="38"/>
    </w:p>
    <w:bookmarkEnd w:id="39"/>
    <w:bookmarkStart w:id="43" w:name="among-female-covariance"/>
    <w:p>
      <w:pPr>
        <w:pStyle w:val="Heading3"/>
      </w:pPr>
      <w:r>
        <w:t xml:space="preserve">Among-female covariance</w:t>
      </w:r>
    </w:p>
    <w:p>
      <w:pPr>
        <w:pStyle w:val="FirstParagraph"/>
      </w:pPr>
      <w:bookmarkStart w:id="40" w:name="eq-cov_among_slop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among, slope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15</m:t>
              </m:r>
            </m:e>
          </m:d>
        </m:oMath>
      </m:oMathPara>
      <w:bookmarkEnd w:id="40"/>
    </w:p>
    <w:p>
      <w:pPr>
        <w:pStyle w:val="FirstParagraph"/>
      </w:pPr>
      <w:bookmarkStart w:id="41" w:name="eq-cov_among_intercept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among, intercept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N</m:t>
              </m:r>
              <m:r>
                <m:t>S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16</m:t>
              </m:r>
            </m:e>
          </m:d>
        </m:oMath>
      </m:oMathPara>
      <w:bookmarkEnd w:id="41"/>
    </w:p>
    <w:p>
      <w:pPr>
        <w:pStyle w:val="FirstParagraph"/>
      </w:pPr>
      <w:r>
        <w:t xml:space="preserve">Total among-female covariance is therefore</w:t>
      </w:r>
    </w:p>
    <w:p>
      <w:pPr>
        <w:pStyle w:val="BodyText"/>
      </w:pPr>
      <w:bookmarkStart w:id="42" w:name="eq-cov_among_total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N</m:t>
              </m:r>
              <m:r>
                <m:t>S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17</m:t>
              </m:r>
            </m:e>
          </m:d>
        </m:oMath>
      </m:oMathPara>
      <w:bookmarkEnd w:id="42"/>
    </w:p>
    <w:bookmarkEnd w:id="43"/>
    <w:bookmarkStart w:id="48" w:name="total-phenotypic-covariance"/>
    <w:p>
      <w:pPr>
        <w:pStyle w:val="Heading3"/>
      </w:pPr>
      <w:r>
        <w:t xml:space="preserve">Total phenotypic covariance</w:t>
      </w:r>
    </w:p>
    <w:p>
      <w:pPr>
        <w:pStyle w:val="FirstParagraph"/>
      </w:pPr>
      <w:r>
        <w:t xml:space="preserve">Combining components:</w:t>
      </w:r>
    </w:p>
    <w:p>
      <w:pPr>
        <w:pStyle w:val="BodyText"/>
      </w:pPr>
      <w:bookmarkStart w:id="44" w:name="eq-cov_total_expand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W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W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N</m:t>
              </m:r>
              <m:r>
                <m:t>S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18</m:t>
              </m:r>
            </m:e>
          </m:d>
        </m:oMath>
      </m:oMathPara>
      <w:bookmarkEnd w:id="44"/>
    </w:p>
    <w:p>
      <w:pPr>
        <w:pStyle w:val="FirstParagraph"/>
      </w:pPr>
      <w:r>
        <w:t xml:space="preserve">The intercept correlation is</w:t>
      </w:r>
    </w:p>
    <w:p>
      <w:pPr>
        <w:pStyle w:val="BodyText"/>
      </w:pPr>
      <w:bookmarkStart w:id="45" w:name="eq-rho_definition"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N</m:t>
                  </m:r>
                  <m:r>
                    <m:t>S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sSubSup>
                    <m:e>
                      <m:r>
                        <m:t>σ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t>d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19</m:t>
              </m:r>
            </m:e>
          </m:d>
        </m:oMath>
      </m:oMathPara>
      <w:bookmarkEnd w:id="45"/>
    </w:p>
    <w:p>
      <w:r>
        <w:br w:type="page"/>
      </w: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 1: Posterior summaries from the multivariate Bayesian mixed-effects model examining the relationship between egg number and mean egg size. The model jointly estimated a negative binomial model for egg number and a Gaussian model for egg size, including brood effects and partitioning egg number into within- and between-female components. Reported values are posterior medians and 95% credible intervals (CrI). Random effects represent among-female (ID-level) variation, and the correlation term describes the association between female intercepts for egg number and egg size. The dispersion parameter refers to the negative binomial shape parameter.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878"/>
              <w:gridCol w:w="1266"/>
              <w:gridCol w:w="1866"/>
              <w:gridCol w:w="1866"/>
            </w:tblGrid>
            <w:tr>
              <w:trPr>
                <w:trHeight w:val="619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Parameter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Lower 95% CrI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Upper 95% CrI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number: Brood 2 − Brood 1 (log scale)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-0.413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-0.635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-0.189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number: Intercept (Brood 1, log scale)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3.940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3.782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4.107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Brood 2 − Brood 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-0.024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Between-female deviation in egg number (z)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0.002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Within-female deviation in egg number (z)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0.049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Intercept (Brood 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3.618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cor_id__eggnumber_Intercept__meaneggsize_Intercept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-0.813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0.816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(Egg number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0.270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(Egg size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0.155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Residual SD (Egg size)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0.235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Dispersion (Egg number | NegBin shape)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4.080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2.835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5.853</w:t>
                  </w:r>
                </w:p>
              </w:tc>
            </w:tr>
          </w:tbl>
          <w:bookmarkEnd w:id="46"/>
        </w:tc>
      </w:tr>
    </w:tbl>
    <w:p>
      <w:pPr>
        <w:sectPr>
          <w:pgSz w:h="11906" w:w="16838" w:orient="landscape"/>
        </w:sectPr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 2: Posterior medians and 95% credible intervals from a Bayesian mixed model of scaled egg perimeter, including clutch-specific means, clutch-specific female-level random effects, and clutch-specific residual variance.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552"/>
              <w:gridCol w:w="1266"/>
              <w:gridCol w:w="1866"/>
              <w:gridCol w:w="1866"/>
            </w:tblGrid>
            <w:tr>
              <w:trPr>
                <w:trHeight w:val="619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Parameter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Lower 95% CrI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Upper 95% CrI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Brood 2 − Brood 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-0.535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-0.827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-0.246</w:t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 (Brood 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0.530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Correlation (Brood 1, Brood 2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0.488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(Brood 1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1.058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(Brood 2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0.982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Residual SD (Brood 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0.471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Residual SD (Brood 2)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0.616</w:t>
                  </w:r>
                </w:p>
              </w:tc>
            </w:tr>
          </w:tbl>
          <w:bookmarkEnd w:id="47"/>
        </w:tc>
      </w:tr>
    </w:tbl>
    <w:p>
      <w:r>
        <w:br w:type="page"/>
      </w:r>
    </w:p>
    <w:bookmarkEnd w:id="48"/>
    <w:bookmarkEnd w:id="49"/>
    <w:bookmarkStart w:id="53" w:name="references"/>
    <w:p>
      <w:pPr>
        <w:pStyle w:val="Heading1"/>
      </w:pPr>
      <w:r>
        <w:t xml:space="preserve">References</w:t>
      </w:r>
    </w:p>
    <w:bookmarkStart w:id="52" w:name="refs"/>
    <w:bookmarkStart w:id="50" w:name="ref-vandepol2009"/>
    <w:p>
      <w:pPr>
        <w:pStyle w:val="Bibliography"/>
      </w:pPr>
      <w:r>
        <w:t xml:space="preserve">Pol, M. van de, and J. Wright. 2009. A simple method for distinguishing within- versus between-subject effects using mixed models. Anim Behav 77:753–758.</w:t>
      </w:r>
    </w:p>
    <w:bookmarkEnd w:id="50"/>
    <w:bookmarkStart w:id="51" w:name="ref-westneat2020"/>
    <w:p>
      <w:pPr>
        <w:pStyle w:val="Bibliography"/>
      </w:pPr>
      <w:r>
        <w:t xml:space="preserve">Westneat, D. F., Y. G. Araya-Ajoy, H. Allegue, B. Class, N. Dingemanse, N. A. Dochtermann, L. Z. Garamszegi, J. G. A. Martin, S. Nakagawa, D. Réale, and H. Schielzeth. 2020. Collision between biological process and statistical analysis revealed by mean centring. J Anim Ecol 89:2813–2824.</w:t>
      </w:r>
    </w:p>
    <w:bookmarkEnd w:id="51"/>
    <w:bookmarkEnd w:id="52"/>
    <w:bookmarkEnd w:id="53"/>
    <w:sectPr w:rsidR="00D16E09" w:rsidSect="00464596">
      <w:headerReference r:id="rId10" w:type="even"/>
      <w:headerReference r:id="rId9" w:type="default"/>
      <w:footerReference r:id="rId12" w:type="even"/>
      <w:footerReference r:id="rId11" w:type="default"/>
      <w:pgSz w:h="15840" w:w="12240"/>
      <w:pgMar w:bottom="2024" w:footer="737" w:gutter="0" w:header="737" w:left="1418" w:right="1418" w:top="1531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2C1AE401"/>
    <w:multiLevelType w:val="multilevel"/>
    <w:tmpl w:val="05CEFC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1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45054215" w:numId="1">
    <w:abstractNumId w:val="10"/>
  </w:num>
  <w:num w16cid:durableId="1866140359" w:numId="2">
    <w:abstractNumId w:val="0"/>
  </w:num>
  <w:num w16cid:durableId="2053848946" w:numId="3">
    <w:abstractNumId w:val="1"/>
  </w:num>
  <w:num w16cid:durableId="1342463185" w:numId="4">
    <w:abstractNumId w:val="2"/>
  </w:num>
  <w:num w16cid:durableId="1274483611" w:numId="5">
    <w:abstractNumId w:val="3"/>
  </w:num>
  <w:num w16cid:durableId="995885320" w:numId="6">
    <w:abstractNumId w:val="8"/>
  </w:num>
  <w:num w16cid:durableId="896205620" w:numId="7">
    <w:abstractNumId w:val="4"/>
  </w:num>
  <w:num w16cid:durableId="1489981213" w:numId="8">
    <w:abstractNumId w:val="5"/>
  </w:num>
  <w:num w16cid:durableId="829293693" w:numId="9">
    <w:abstractNumId w:val="6"/>
  </w:num>
  <w:num w16cid:durableId="456608145" w:numId="10">
    <w:abstractNumId w:val="7"/>
  </w:num>
  <w:num w16cid:durableId="75834470" w:numId="11">
    <w:abstractNumId w:val="9"/>
  </w:num>
  <w:num w16cid:durableId="1124497384" w:numId="12">
    <w:abstractNumId w:val="12"/>
  </w:num>
  <w:num w16cid:durableId="442194333" w:numId="13">
    <w:abstractNumId w:val="1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4242D"/>
    <w:rsid w:val="000C346C"/>
    <w:rsid w:val="000E7DF5"/>
    <w:rsid w:val="00106939"/>
    <w:rsid w:val="001417A7"/>
    <w:rsid w:val="00153ABC"/>
    <w:rsid w:val="00193F49"/>
    <w:rsid w:val="001979AD"/>
    <w:rsid w:val="001D38FE"/>
    <w:rsid w:val="001E40BB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5E655C"/>
    <w:rsid w:val="00603165"/>
    <w:rsid w:val="00641EC4"/>
    <w:rsid w:val="0065421B"/>
    <w:rsid w:val="00671E18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B2616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36279"/>
    <w:rsid w:val="00C5226A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65421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CB0BD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90509B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E03BB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  <w:sz w:val="32"/>
    </w:rPr>
  </w:style>
  <w:style w:styleId="Heading5" w:type="paragraph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background1" w:val="FFFFFF"/>
      <w:sz w:val="10"/>
    </w:rPr>
  </w:style>
  <w:style w:styleId="Heading6" w:type="paragraph">
    <w:name w:val="heading 6"/>
    <w:basedOn w:val="Normal"/>
    <w:next w:val="BodyText"/>
    <w:uiPriority w:val="9"/>
    <w:unhideWhenUsed/>
    <w:qFormat/>
    <w:rsid w:val="000E7DF5"/>
    <w:pPr>
      <w:keepNext/>
      <w:keepLines/>
      <w:spacing w:after="0" w:before="200"/>
      <w:jc w:val="center"/>
      <w:outlineLvl w:val="5"/>
    </w:pPr>
    <w:rPr>
      <w:rFonts w:ascii="Times New Roman" w:cstheme="majorBidi" w:eastAsiaTheme="majorEastAsia" w:hAnsi="Times New Roman"/>
      <w:color w:themeColor="text1" w:val="000000"/>
      <w:sz w:val="28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B122AB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7F5E62"/>
    <w:pPr>
      <w:spacing w:after="180" w:before="180" w:line="480" w:lineRule="auto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AD10C6"/>
    <w:pPr>
      <w:keepNext/>
      <w:keepLines/>
      <w:spacing w:after="240" w:before="480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unhideWhenUsed/>
    <w:qFormat/>
    <w:rsid w:val="00921965"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ED4ADB"/>
    <w:pPr>
      <w:keepNext/>
    </w:pPr>
    <w:rPr>
      <w:i w:val="0"/>
    </w:rPr>
  </w:style>
  <w:style w:customStyle="1" w:styleId="ImageCaption" w:type="paragraph">
    <w:name w:val="Image Caption"/>
    <w:basedOn w:val="Caption"/>
    <w:rsid w:val="00ED4ADB"/>
    <w:rPr>
      <w:i w:val="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7F5E62"/>
    <w:rPr>
      <w:rFonts w:ascii="Times New Roman" w:hAnsi="Times New Roman"/>
    </w:rPr>
  </w:style>
  <w:style w:styleId="LineNumber" w:type="character">
    <w:name w:val="line number"/>
    <w:basedOn w:val="DefaultParagraphFont"/>
    <w:semiHidden/>
    <w:unhideWhenUsed/>
    <w:rsid w:val="008E79E4"/>
  </w:style>
  <w:style w:styleId="TableGrid" w:type="table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A" w:type="table">
    <w:name w:val="TableA"/>
    <w:basedOn w:val="TableGrid"/>
    <w:uiPriority w:val="99"/>
    <w:rsid w:val="00FD1322"/>
    <w:rPr>
      <w:rFonts w:cs="Times New Roman (Body CS)"/>
    </w:rPr>
    <w:tblPr/>
  </w:style>
  <w:style w:styleId="PlainTable1" w:type="table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GridTable2" w:type="table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Header" w:type="paragraph">
    <w:name w:val="header"/>
    <w:basedOn w:val="Normal"/>
    <w:link w:val="Head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CE76D0"/>
  </w:style>
  <w:style w:styleId="Footer" w:type="paragraph">
    <w:name w:val="footer"/>
    <w:basedOn w:val="Normal"/>
    <w:link w:val="Foot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CE76D0"/>
  </w:style>
  <w:style w:styleId="PageNumber" w:type="charact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hyperlink" Id="rId20" Target="mailto:kelly.clint@uqam.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kelly.clint@uqam.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147</Words>
  <Characters>686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Material: Disentangling within- and between-female egg size–number trade-offs in the European earwig</dc:title>
  <dc:creator>Clint D. Kelly1,✉</dc:creator>
  <cp:keywords/>
  <dcterms:created xsi:type="dcterms:W3CDTF">2026-02-23T18:20:48Z</dcterms:created>
  <dcterms:modified xsi:type="dcterms:W3CDTF">2026-02-23T18:20:48Z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Bibliography.bib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evolution.csl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