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780ED" w14:textId="77777777" w:rsidR="00DF7DF4" w:rsidRDefault="000E1EA2">
      <w:pPr>
        <w:pStyle w:val="Title"/>
      </w:pPr>
      <w:r>
        <w:t>Residual correlation shows that European earwigs do not trade off clutch and egg size.</w:t>
      </w:r>
    </w:p>
    <w:p w14:paraId="28F9D5FF" w14:textId="77777777" w:rsidR="00DF7DF4" w:rsidRDefault="000E1EA2">
      <w:pPr>
        <w:pStyle w:val="Author"/>
      </w:pPr>
      <w:r>
        <w:t>Clint D. Kelly</w:t>
      </w:r>
      <w:r>
        <w:rPr>
          <w:vertAlign w:val="superscript"/>
        </w:rPr>
        <w:t>1,✉</w:t>
      </w:r>
    </w:p>
    <w:p w14:paraId="13935F92" w14:textId="77777777" w:rsidR="00DF7DF4" w:rsidRDefault="000E1EA2">
      <w:pPr>
        <w:pStyle w:val="FirstParagraph"/>
      </w:pPr>
      <w:r>
        <w:rPr>
          <w:vertAlign w:val="superscript"/>
        </w:rPr>
        <w:t>1</w:t>
      </w:r>
      <w:r>
        <w:t xml:space="preserve"> </w:t>
      </w:r>
      <w:r>
        <w:t>Département des Sciences biologiques, Université du Québec à Montréal, Montréal, Canada</w:t>
      </w:r>
    </w:p>
    <w:p w14:paraId="17C625E7" w14:textId="77777777" w:rsidR="00DF7DF4" w:rsidRDefault="000E1EA2">
      <w:pPr>
        <w:pStyle w:val="BodyText"/>
      </w:pPr>
      <w:r>
        <w:rPr>
          <w:vertAlign w:val="superscript"/>
        </w:rPr>
        <w:t>✉</w:t>
      </w:r>
      <w:r>
        <w:t xml:space="preserve"> Correspondence: </w:t>
      </w:r>
      <w:hyperlink r:id="rId7">
        <w:r>
          <w:rPr>
            <w:rStyle w:val="Hyperlink"/>
          </w:rPr>
          <w:t>Clint D. Kelly &lt;kelly.clint@uqam.ca&gt;</w:t>
        </w:r>
      </w:hyperlink>
    </w:p>
    <w:p w14:paraId="27A8DBCC" w14:textId="77777777" w:rsidR="00DF7DF4" w:rsidRDefault="000E1EA2">
      <w:r>
        <w:br w:type="page"/>
      </w:r>
    </w:p>
    <w:p w14:paraId="1404E286" w14:textId="77777777" w:rsidR="00DF7DF4" w:rsidRDefault="000E1EA2">
      <w:pPr>
        <w:pStyle w:val="Heading1"/>
      </w:pPr>
      <w:bookmarkStart w:id="0" w:name="abstract"/>
      <w:r>
        <w:lastRenderedPageBreak/>
        <w:t>Abstract</w:t>
      </w:r>
    </w:p>
    <w:p w14:paraId="1A72F81D" w14:textId="77777777" w:rsidR="00DF7DF4" w:rsidRDefault="000E1EA2">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47A5244F" w14:textId="77777777" w:rsidR="00DF7DF4" w:rsidRDefault="000E1EA2">
      <w:r>
        <w:br w:type="page"/>
      </w:r>
    </w:p>
    <w:p w14:paraId="256ED83F" w14:textId="77777777" w:rsidR="00DF7DF4" w:rsidRDefault="000E1EA2">
      <w:pPr>
        <w:pStyle w:val="Heading1"/>
      </w:pPr>
      <w:bookmarkStart w:id="1" w:name="introduction"/>
      <w:bookmarkEnd w:id="0"/>
      <w:r>
        <w:lastRenderedPageBreak/>
        <w:t>Introduction</w:t>
      </w:r>
    </w:p>
    <w:p w14:paraId="286AB1CB" w14:textId="77777777" w:rsidR="00DF7DF4" w:rsidRDefault="000E1EA2">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w:t>
      </w:r>
      <w:r>
        <w:t>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w:t>
      </w:r>
      <w:r>
        <w:t xml:space="preserve"> This means that females that acquire more reproductive resources can produce more and larger eggs, but must nevertheless trade off size and number.</w:t>
      </w:r>
    </w:p>
    <w:p w14:paraId="20338879" w14:textId="77777777" w:rsidR="00DF7DF4" w:rsidRDefault="000E1EA2">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7407479F" w14:textId="77777777" w:rsidR="00DF7DF4" w:rsidRDefault="000E1EA2">
      <w:pPr>
        <w:pStyle w:val="Heading1"/>
      </w:pPr>
      <w:bookmarkStart w:id="2" w:name="methods"/>
      <w:bookmarkEnd w:id="1"/>
      <w:r>
        <w:t>Methods</w:t>
      </w:r>
    </w:p>
    <w:p w14:paraId="56538B68" w14:textId="77777777" w:rsidR="00DF7DF4" w:rsidRDefault="000E1EA2">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5E17FD28" w14:textId="77777777" w:rsidR="00DF7DF4" w:rsidRDefault="000E1EA2">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5957C258" w14:textId="77777777" w:rsidR="00DF7DF4" w:rsidRDefault="000E1EA2">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16C78981" w14:textId="77777777" w:rsidR="00DF7DF4" w:rsidRDefault="000E1EA2">
      <w:pPr>
        <w:pStyle w:val="Heading3"/>
      </w:pPr>
      <w:bookmarkStart w:id="3" w:name="statistical-analysis"/>
      <w:r>
        <w:t>Statistical analysis</w:t>
      </w:r>
    </w:p>
    <w:p w14:paraId="7FF2E40A" w14:textId="77777777" w:rsidR="00DF7DF4" w:rsidRDefault="000E1EA2">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Because the measurements of my three traits were highly repeatable (pronotum length: </w:t>
      </w:r>
      <w:r>
        <w:rPr>
          <w:i/>
          <w:iCs/>
        </w:rPr>
        <w:t>R</w:t>
      </w:r>
      <w:r>
        <w:t xml:space="preserve"> [95% CI] = 0.98 [0.97, 0.99]; body mass: </w:t>
      </w:r>
      <w:r>
        <w:rPr>
          <w:i/>
          <w:iCs/>
        </w:rPr>
        <w:t>R</w:t>
      </w:r>
      <w:r>
        <w:t xml:space="preserve"> [95% CI] = 0.99 [0.988, 0.996] egg perimeter in the first brood: </w:t>
      </w:r>
      <w:r>
        <w:rPr>
          <w:i/>
          <w:iCs/>
        </w:rPr>
        <w:t>R</w:t>
      </w:r>
      <w:r>
        <w:t xml:space="preserve"> [95% CI] = 0.977 [0.976, 0.979] and in the second brood: </w:t>
      </w:r>
      <w:r>
        <w:rPr>
          <w:i/>
          <w:iCs/>
        </w:rPr>
        <w:t>R</w:t>
      </w:r>
      <w:r>
        <w:t xml:space="preserve"> [95% CI] = 0.93 [0.926, 0.937] ), I used each female</w:t>
      </w:r>
      <w:r>
        <w:t>’s mean value for each trait in all subsequent analyses.</w:t>
      </w:r>
    </w:p>
    <w:p w14:paraId="24234D18" w14:textId="77777777" w:rsidR="00DF7DF4" w:rsidRDefault="000E1EA2">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w:t>
      </w:r>
      <w:r>
        <w:lastRenderedPageBreak/>
        <w:t>Core Team 2025). The first PC accounted for 60.8% of the variation. I also standardised female body mass relative to body size using the scaled mass index procedure of Peig and Green (2009, 2010; see also Kelly et al. 2014).</w:t>
      </w:r>
    </w:p>
    <w:p w14:paraId="79515620" w14:textId="77777777" w:rsidR="00DF7DF4" w:rsidRDefault="000E1EA2">
      <w:pPr>
        <w:pStyle w:val="BodyText"/>
      </w:pPr>
      <w:r>
        <w:t>I tested the prediction that egg number and egg size trade off within females using a Bayesian multivariate linear mixed-effects model (</w:t>
      </w:r>
      <w:r>
        <w:rPr>
          <w:i/>
          <w:iCs/>
        </w:rPr>
        <w:t>brms</w:t>
      </w:r>
      <w:r>
        <w:t xml:space="preserve"> package, Bürkner (2017)). Egg number and egg perimeter were entered as scaled response variables, and </w:t>
      </w:r>
      <w:r>
        <w:rPr>
          <w:i/>
          <w:iCs/>
        </w:rPr>
        <w:t>res_cor</w:t>
      </w:r>
      <w:r>
        <w:t xml:space="preserve"> was set to TRUE to estimate the within-individual (residual) correlation (</w:t>
      </w:r>
      <w:r>
        <w:rPr>
          <w:i/>
          <w:iCs/>
        </w:rPr>
        <w:t>r</w:t>
      </w:r>
      <w:r>
        <w:rPr>
          <w:vertAlign w:val="subscript"/>
        </w:rPr>
        <w:t>within</w:t>
      </w:r>
      <w:r>
        <w:t>)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w:t>
      </w:r>
      <w:r>
        <w:t>ass as a continuous covariate because body size generally correlates with fecundity in insects (Honek 1993).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w:t>
      </w:r>
      <w:r>
        <w:t>easure, using leave-one-out cross-validation (LOO) (Vehtari et al. 2017). Pronotum length, body mass, and scaled mass were scaled (mean = 0, sd = 1) before analysis. The model that included pronotum length as a continuous covariate provided the best fit (Expected Log Predictive Density (ELPD) = 8.71). I report the phenotypic (</w:t>
      </w:r>
      <w:r>
        <w:rPr>
          <w:i/>
          <w:iCs/>
        </w:rPr>
        <w:t>r</w:t>
      </w:r>
      <w:r>
        <w:rPr>
          <w:vertAlign w:val="subscript"/>
        </w:rPr>
        <w:t>p</w:t>
      </w:r>
      <w:r>
        <w:t>), among- (</w:t>
      </w:r>
      <w:r>
        <w:rPr>
          <w:i/>
          <w:iCs/>
        </w:rPr>
        <w:t>r</w:t>
      </w:r>
      <w:r>
        <w:rPr>
          <w:vertAlign w:val="subscript"/>
        </w:rPr>
        <w:t>among</w:t>
      </w:r>
      <w:r>
        <w:t xml:space="preserve">) and within- (residual, </w:t>
      </w:r>
      <w:r>
        <w:rPr>
          <w:i/>
          <w:iCs/>
        </w:rPr>
        <w:t>r</w:t>
      </w:r>
      <w:r>
        <w:rPr>
          <w:vertAlign w:val="subscript"/>
        </w:rPr>
        <w:t>within</w:t>
      </w:r>
      <w:r>
        <w:t>) female correlations and associated 95% credible intervals (CrIs) from the model. I also used the among- and within-individuals leve</w:t>
      </w:r>
      <w:r>
        <w:t>ls of variation for egg size and egg number from the multivariate model to calculate each trait’s repeatability (</w:t>
      </w:r>
      <w:r>
        <w:rPr>
          <w:i/>
          <w:iCs/>
        </w:rPr>
        <w:t>R</w:t>
      </w:r>
      <w:r>
        <w:t>).</w:t>
      </w:r>
    </w:p>
    <w:p w14:paraId="4062039C" w14:textId="77777777" w:rsidR="00DF7DF4" w:rsidRDefault="000E1EA2">
      <w:pPr>
        <w:pStyle w:val="BodyText"/>
      </w:pPr>
      <w:r>
        <w:lastRenderedPageBreak/>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d whether the first and second clutch differed in egg size at the among- and within-female levels.</w:t>
      </w:r>
    </w:p>
    <w:p w14:paraId="0B31466D" w14:textId="77777777" w:rsidR="00DF7DF4" w:rsidRDefault="000E1EA2">
      <w:pPr>
        <w:pStyle w:val="BodyText"/>
      </w:pPr>
      <w:r>
        <w:t>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w:t>
      </w:r>
      <w:r>
        <w:t xml:space="preserve"> with low among-chain variability (</w:t>
      </w:r>
      <m:oMath>
        <m:acc>
          <m:accPr>
            <m:ctrlPr>
              <w:rPr>
                <w:rFonts w:ascii="Cambria Math" w:hAnsi="Cambria Math"/>
              </w:rPr>
            </m:ctrlPr>
          </m:accPr>
          <m:e>
            <m:r>
              <w:rPr>
                <w:rFonts w:ascii="Cambria Math" w:hAnsi="Cambria Math"/>
              </w:rPr>
              <m:t>R</m:t>
            </m:r>
          </m:e>
        </m:acc>
      </m:oMath>
      <w:r>
        <w:t xml:space="preserve"> </w:t>
      </w:r>
      <w:r>
        <w:t>= 1.00). I report posterior means with 95% credible intervals (CrIs) for all parameter estimates, where inference was based on CrIs that did not include zero.</w:t>
      </w:r>
    </w:p>
    <w:p w14:paraId="7C677366" w14:textId="77777777" w:rsidR="00DF7DF4" w:rsidRDefault="000E1EA2">
      <w:pPr>
        <w:pStyle w:val="Heading1"/>
      </w:pPr>
      <w:bookmarkStart w:id="4" w:name="results"/>
      <w:bookmarkEnd w:id="2"/>
      <w:bookmarkEnd w:id="3"/>
      <w:r>
        <w:t>Results</w:t>
      </w:r>
    </w:p>
    <w:p w14:paraId="27C30BEA" w14:textId="77777777" w:rsidR="00DF7DF4" w:rsidRDefault="000E1EA2">
      <w:pPr>
        <w:pStyle w:val="Heading1"/>
      </w:pPr>
      <w:bookmarkStart w:id="5" w:name="brood-order"/>
      <w:bookmarkEnd w:id="4"/>
      <w:r>
        <w:t>Brood order</w:t>
      </w:r>
    </w:p>
    <w:p w14:paraId="00ACCD3A" w14:textId="77777777" w:rsidR="00DF7DF4" w:rsidRDefault="000E1EA2">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w:t>
      </w:r>
      <w:r>
        <w:lastRenderedPageBreak/>
        <w:t xml:space="preserve">±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0049ECE9" w14:textId="77777777" w:rsidR="00DF7DF4" w:rsidRDefault="000E1EA2">
      <w:pPr>
        <w:pStyle w:val="Heading1"/>
      </w:pPr>
      <w:bookmarkStart w:id="6" w:name="correlations"/>
      <w:bookmarkEnd w:id="5"/>
      <w:r>
        <w:t>Correlations</w:t>
      </w:r>
    </w:p>
    <w:p w14:paraId="2F125B06" w14:textId="77777777" w:rsidR="00DF7DF4" w:rsidRDefault="000E1EA2">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Thus, ignoring hierarchical structure, there was no clear phenotypic association between the two traits.</w:t>
      </w:r>
    </w:p>
    <w:p w14:paraId="6E3AB2E1" w14:textId="77777777" w:rsidR="00DF7DF4" w:rsidRDefault="000E1EA2">
      <w:pPr>
        <w:pStyle w:val="BodyText"/>
      </w:pPr>
      <w:r>
        <w:t>When calculated using female means, the between-female Pearson correlation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Females that produced more eggs on average tended to lay smaller eggs.</w:t>
      </w:r>
    </w:p>
    <w:p w14:paraId="5CED50EE" w14:textId="77777777" w:rsidR="00DF7DF4" w:rsidRDefault="000E1EA2">
      <w:pPr>
        <w:pStyle w:val="BodyText"/>
      </w:pPr>
      <w:r>
        <w:t>The multivariate Gaussian model partitioned covariation into among-female and residual components. After accounting for female identity, the residual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0.0025, 95% CI [-0.86, 0.85]).</w:t>
      </w:r>
    </w:p>
    <w:p w14:paraId="1746A995" w14:textId="77777777" w:rsidR="00DF7DF4" w:rsidRDefault="000E1EA2">
      <w:pPr>
        <w:pStyle w:val="BodyText"/>
      </w:pPr>
      <w:r>
        <w:t>This indicates no evidence for consistent brood-level covariation beyond hierarchical structure.</w:t>
      </w:r>
    </w:p>
    <w:p w14:paraId="0CE47AEB" w14:textId="77777777" w:rsidR="00DF7DF4" w:rsidRDefault="000E1EA2">
      <w:pPr>
        <w:pStyle w:val="Heading1"/>
      </w:pPr>
      <w:bookmarkStart w:id="7" w:name="discussion"/>
      <w:bookmarkEnd w:id="6"/>
      <w:r>
        <w:lastRenderedPageBreak/>
        <w:t>Discussion</w:t>
      </w:r>
    </w:p>
    <w:p w14:paraId="344C4F48" w14:textId="77777777" w:rsidR="00DF7DF4" w:rsidRDefault="000E1EA2">
      <w:pPr>
        <w:pStyle w:val="FirstParagraph"/>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6E8A42B0" w14:textId="77777777" w:rsidR="00DF7DF4" w:rsidRDefault="000E1EA2">
      <w:pPr>
        <w:pStyle w:val="BodyText"/>
      </w:pPr>
      <w:r>
        <w:t xml:space="preserve">My study revealed that second clutches comprised, on average, fewer and smaller eggs than first clutches, which can be explained at both the proximate and ultimate levels of causation. My </w:t>
      </w:r>
      <w:r>
        <w:lastRenderedPageBreak/>
        <w:t xml:space="preserve">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w:t>
      </w:r>
      <w:r>
        <w:t>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w:t>
      </w:r>
      <w:r>
        <w:t>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14:paraId="492D495B" w14:textId="77777777" w:rsidR="00DF7DF4" w:rsidRDefault="000E1EA2">
      <w:pPr>
        <w:pStyle w:val="BodyText"/>
      </w:pPr>
      <w:r>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w:t>
      </w:r>
      <w:r>
        <w:lastRenderedPageBreak/>
        <w:t xml:space="preserve">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w:t>
      </w:r>
      <w:r>
        <w:t xml:space="preserve">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w:t>
      </w:r>
      <w:r>
        <w:t>rce allocation may exceed variance in 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w:t>
      </w:r>
      <w:r>
        <w:t xml:space="preserve"> differences among females in how they allocate resources to clutch and egg size, with some </w:t>
      </w:r>
      <w:r>
        <w:lastRenderedPageBreak/>
        <w:t>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696405CB" w14:textId="77777777" w:rsidR="00DF7DF4" w:rsidRDefault="000E1EA2">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3D3F1F81" w14:textId="77777777" w:rsidR="00DF7DF4" w:rsidRDefault="000E1EA2">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xml:space="preserve">) in better nutritional condition had clutches with less variation in egg size (Nilsson and Svensson </w:t>
      </w:r>
      <w:r>
        <w:lastRenderedPageBreak/>
        <w:t>1993). Although information on intraclutch egg-size variation and its proximal drivers is scarce in insects, the same principl</w:t>
      </w:r>
      <w:r>
        <w:t>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w:t>
      </w:r>
      <w:r>
        <w:t>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w:t>
      </w:r>
      <w:r>
        <w:t>hereas smaller eggs later in the laying sequence may be a brood-reduction strategy (Slagsvold et al. 1984). However, it is unknown whether variation in egg size has an equivalent adaptive function in insects expressing maternal care.</w:t>
      </w:r>
    </w:p>
    <w:p w14:paraId="39A85AC6" w14:textId="77777777" w:rsidR="00DF7DF4" w:rsidRDefault="000E1EA2">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0AAF3FA4" w14:textId="77777777" w:rsidR="00DF7DF4" w:rsidRDefault="000E1EA2">
      <w:pPr>
        <w:pStyle w:val="Heading1"/>
      </w:pPr>
      <w:bookmarkStart w:id="8" w:name="data-availability"/>
      <w:bookmarkEnd w:id="7"/>
      <w:r>
        <w:lastRenderedPageBreak/>
        <w:t>Data availability</w:t>
      </w:r>
    </w:p>
    <w:p w14:paraId="002924AA" w14:textId="77777777" w:rsidR="00DF7DF4" w:rsidRDefault="000E1EA2">
      <w:pPr>
        <w:pStyle w:val="FirstParagraph"/>
      </w:pPr>
      <w:r>
        <w:t>Data are available through the OSF repository at 10.17605/OSF.IO/KWCS8.</w:t>
      </w:r>
    </w:p>
    <w:p w14:paraId="45703612" w14:textId="77777777" w:rsidR="00DF7DF4" w:rsidRDefault="000E1EA2">
      <w:pPr>
        <w:pStyle w:val="Heading1"/>
      </w:pPr>
      <w:bookmarkStart w:id="9" w:name="author-contributions"/>
      <w:bookmarkEnd w:id="8"/>
      <w:r>
        <w:t>Author contributions</w:t>
      </w:r>
    </w:p>
    <w:p w14:paraId="7CD71FBD" w14:textId="77777777" w:rsidR="00DF7DF4" w:rsidRDefault="000E1EA2">
      <w:pPr>
        <w:pStyle w:val="FirstParagraph"/>
      </w:pPr>
      <w:r>
        <w:t>CDK collected and analyzed the data, and wrote the manuscript.</w:t>
      </w:r>
    </w:p>
    <w:p w14:paraId="63E97DA9" w14:textId="77777777" w:rsidR="00DF7DF4" w:rsidRDefault="000E1EA2">
      <w:pPr>
        <w:pStyle w:val="Heading1"/>
      </w:pPr>
      <w:bookmarkStart w:id="10" w:name="funding"/>
      <w:bookmarkEnd w:id="9"/>
      <w:r>
        <w:t>Funding</w:t>
      </w:r>
    </w:p>
    <w:p w14:paraId="0F869ABC" w14:textId="77777777" w:rsidR="00DF7DF4" w:rsidRDefault="000E1EA2">
      <w:pPr>
        <w:pStyle w:val="FirstParagraph"/>
      </w:pPr>
      <w:r>
        <w:t>The study was funded by a Discovery Grant from the Natural Sciences and Engineering Research Council of Canada (NSERC).</w:t>
      </w:r>
    </w:p>
    <w:p w14:paraId="39EAC5B6" w14:textId="77777777" w:rsidR="00DF7DF4" w:rsidRDefault="000E1EA2">
      <w:pPr>
        <w:pStyle w:val="Heading1"/>
      </w:pPr>
      <w:bookmarkStart w:id="11" w:name="conflict-of-interest"/>
      <w:bookmarkEnd w:id="10"/>
      <w:r>
        <w:t>Conflict of Interest</w:t>
      </w:r>
    </w:p>
    <w:p w14:paraId="7EAF9F6B" w14:textId="77777777" w:rsidR="00DF7DF4" w:rsidRDefault="000E1EA2">
      <w:pPr>
        <w:pStyle w:val="FirstParagraph"/>
      </w:pPr>
      <w:r>
        <w:t>I declare no conflict of interest.</w:t>
      </w:r>
    </w:p>
    <w:p w14:paraId="3283D6F0" w14:textId="77777777" w:rsidR="00DF7DF4" w:rsidRDefault="000E1EA2">
      <w:pPr>
        <w:pStyle w:val="Heading1"/>
      </w:pPr>
      <w:bookmarkStart w:id="12" w:name="acknowledgements"/>
      <w:bookmarkEnd w:id="11"/>
      <w:r>
        <w:t>Acknowledgements</w:t>
      </w:r>
    </w:p>
    <w:p w14:paraId="06D993D3" w14:textId="77777777" w:rsidR="00DF7DF4" w:rsidRDefault="000E1EA2">
      <w:pPr>
        <w:pStyle w:val="FirstParagraph"/>
      </w:pPr>
      <w:r>
        <w:t>I thank Andréanne Nault and Clara Smythe for assistance in animal care and data collection.</w:t>
      </w:r>
    </w:p>
    <w:p w14:paraId="6408C8F0" w14:textId="77777777" w:rsidR="00DF7DF4" w:rsidRDefault="000E1EA2">
      <w:r>
        <w:br w:type="page"/>
      </w:r>
    </w:p>
    <w:p w14:paraId="40117D5F" w14:textId="77777777" w:rsidR="00DF7DF4" w:rsidRDefault="000E1EA2">
      <w:pPr>
        <w:pStyle w:val="Heading1"/>
      </w:pPr>
      <w:bookmarkStart w:id="13" w:name="references"/>
      <w:bookmarkEnd w:id="12"/>
      <w:r>
        <w:lastRenderedPageBreak/>
        <w:t>References</w:t>
      </w:r>
    </w:p>
    <w:p w14:paraId="7A038BB6" w14:textId="77777777" w:rsidR="00DF7DF4" w:rsidRDefault="000E1EA2">
      <w:pPr>
        <w:pStyle w:val="Bibliography"/>
      </w:pPr>
      <w:bookmarkStart w:id="14" w:name="ref-bernardo1996"/>
      <w:bookmarkStart w:id="15" w:name="refs"/>
      <w:r>
        <w:t>Bernardo, J. 1996. The particular maternal effect of propagule size, especially egg size: Patterns, models, quality of evidence and interpretations. Am Zool 36:216–236.</w:t>
      </w:r>
    </w:p>
    <w:p w14:paraId="7513BC07" w14:textId="77777777" w:rsidR="00DF7DF4" w:rsidRDefault="000E1EA2">
      <w:pPr>
        <w:pStyle w:val="Bibliography"/>
      </w:pPr>
      <w:bookmarkStart w:id="16" w:name="ref-boos2014"/>
      <w:bookmarkEnd w:id="14"/>
      <w:r>
        <w:t>Boos, S., J. Meunier, S. Pichon, and M. Kölliker. 2014. Maternal care provides antifungal protection to eggs in the european earwig. Behav Ecol 25:754–761.</w:t>
      </w:r>
    </w:p>
    <w:p w14:paraId="11213C93" w14:textId="77777777" w:rsidR="00DF7DF4" w:rsidRDefault="000E1EA2">
      <w:pPr>
        <w:pStyle w:val="Bibliography"/>
      </w:pPr>
      <w:bookmarkStart w:id="17" w:name="ref-burkner2017"/>
      <w:bookmarkEnd w:id="16"/>
      <w:r>
        <w:t>Bürkner, P.-C. 2017. brms: An R package for Bayesian multilevel models using Stan. Journal of Statistical Software 80:4308.</w:t>
      </w:r>
    </w:p>
    <w:p w14:paraId="431D99C3" w14:textId="77777777" w:rsidR="00DF7DF4" w:rsidRDefault="000E1EA2">
      <w:pPr>
        <w:pStyle w:val="Bibliography"/>
      </w:pPr>
      <w:bookmarkStart w:id="18" w:name="ref-careau2017"/>
      <w:bookmarkEnd w:id="17"/>
      <w:r>
        <w:t>Careau, V., and R. Wilson. 2017. Of uberfleas and krakens: Detecting trade-offs using mixed models. Integr Comp Biol 57:362–371.</w:t>
      </w:r>
    </w:p>
    <w:p w14:paraId="61A096D1" w14:textId="77777777" w:rsidR="00DF7DF4" w:rsidRDefault="000E1EA2">
      <w:pPr>
        <w:pStyle w:val="Bibliography"/>
      </w:pPr>
      <w:bookmarkStart w:id="19" w:name="ref-cavaleiro2014"/>
      <w:bookmarkEnd w:id="18"/>
      <w:r>
        <w:t>Cavaleiro, F. I., and M. J. Santos. 2014. Egg number-egg size: An important trade-off in parasite life history strategies. Int J Parasitol 44:173–182.</w:t>
      </w:r>
    </w:p>
    <w:p w14:paraId="68C6CCFB" w14:textId="77777777" w:rsidR="00DF7DF4" w:rsidRDefault="000E1EA2">
      <w:pPr>
        <w:pStyle w:val="Bibliography"/>
      </w:pPr>
      <w:bookmarkStart w:id="20" w:name="ref-church2019"/>
      <w:bookmarkEnd w:id="19"/>
      <w:r>
        <w:t>Church, S. H., S. Donoughe, B. A. S. de Medeiros, and C. G. Extavour. 2019. Insect egg size and shape evolve with ecology but not developmental rate. Nature 571:58–62.</w:t>
      </w:r>
    </w:p>
    <w:p w14:paraId="2DB29918" w14:textId="77777777" w:rsidR="00DF7DF4" w:rsidRDefault="000E1EA2">
      <w:pPr>
        <w:pStyle w:val="Bibliography"/>
      </w:pPr>
      <w:bookmarkStart w:id="21" w:name="ref-clutton-brock1984"/>
      <w:bookmarkEnd w:id="20"/>
      <w:r>
        <w:t>Clutton-Brock, T. H. 1984. Reproductive effort and terminal investment in iteroparous animals. Am Nat 123:212–229.</w:t>
      </w:r>
    </w:p>
    <w:p w14:paraId="37A7F461" w14:textId="77777777" w:rsidR="00DF7DF4" w:rsidRDefault="000E1EA2">
      <w:pPr>
        <w:pStyle w:val="Bibliography"/>
      </w:pPr>
      <w:bookmarkStart w:id="22" w:name="ref-clutton-brock1991"/>
      <w:bookmarkEnd w:id="21"/>
      <w:r>
        <w:t>Clutton-Brock, T. H. 1991. The Evolution of Parental Care. Princeton University Press.</w:t>
      </w:r>
    </w:p>
    <w:p w14:paraId="4156EBBB" w14:textId="77777777" w:rsidR="00DF7DF4" w:rsidRDefault="000E1EA2">
      <w:pPr>
        <w:pStyle w:val="Bibliography"/>
      </w:pPr>
      <w:bookmarkStart w:id="23" w:name="ref-einum2000"/>
      <w:bookmarkEnd w:id="22"/>
      <w:r>
        <w:t>Einum, S., and I. A. Fleming. 2000. Highly fecund mothers sacrifice offspring survival to maximize fitness. Nature 405:565–567.</w:t>
      </w:r>
    </w:p>
    <w:p w14:paraId="3E9E2B24" w14:textId="77777777" w:rsidR="00DF7DF4" w:rsidRDefault="000E1EA2">
      <w:pPr>
        <w:pStyle w:val="Bibliography"/>
      </w:pPr>
      <w:bookmarkStart w:id="24" w:name="ref-falconer1996"/>
      <w:bookmarkEnd w:id="23"/>
      <w:r>
        <w:t>Falconer, D. S., and T. F. C. MacKay. 1996. An Introduction Quantitative Genetics. Pearson Education Limited, Essex, England.</w:t>
      </w:r>
    </w:p>
    <w:p w14:paraId="54E9E57C" w14:textId="77777777" w:rsidR="00DF7DF4" w:rsidRDefault="000E1EA2">
      <w:pPr>
        <w:pStyle w:val="Bibliography"/>
      </w:pPr>
      <w:bookmarkStart w:id="25" w:name="ref-ficetola2009"/>
      <w:bookmarkEnd w:id="24"/>
      <w:r>
        <w:t>Ficetola, G. F., and F. De Bernardi. 2009. Offspring size and survival in the frog rana latastei: From among-population to within-clutch variation. Biol J Linn Soc 97:845–853.</w:t>
      </w:r>
    </w:p>
    <w:p w14:paraId="2C15A4FC" w14:textId="77777777" w:rsidR="00DF7DF4" w:rsidRDefault="000E1EA2">
      <w:pPr>
        <w:pStyle w:val="Bibliography"/>
      </w:pPr>
      <w:bookmarkStart w:id="26" w:name="ref-fox2000"/>
      <w:bookmarkEnd w:id="25"/>
      <w:r>
        <w:t>Fox, C. W., and M. E. Czesak. 2000. Evolutionary ecology of progeny size in arthropods. Annu Rev Entomol 45:341–369.</w:t>
      </w:r>
    </w:p>
    <w:p w14:paraId="55671057" w14:textId="77777777" w:rsidR="00DF7DF4" w:rsidRDefault="000E1EA2">
      <w:pPr>
        <w:pStyle w:val="Bibliography"/>
      </w:pPr>
      <w:bookmarkStart w:id="27" w:name="ref-hargitai2005"/>
      <w:bookmarkEnd w:id="26"/>
      <w:r>
        <w:t>Hargitai, R., J. Török, L. Tóth, G. Hegyi, B. Rosivall, B. Szigeti, and E. Szöllősi. 2005. Effects of environmental conditions and parental quality on inter-and intraclutch egg-size variation in the collared flycatcher (ficedula albicollis). The Auk 122:509–522.</w:t>
      </w:r>
    </w:p>
    <w:p w14:paraId="6DEACDAB" w14:textId="77777777" w:rsidR="00DF7DF4" w:rsidRDefault="000E1EA2">
      <w:pPr>
        <w:pStyle w:val="Bibliography"/>
      </w:pPr>
      <w:bookmarkStart w:id="28" w:name="ref-harvey1983"/>
      <w:bookmarkEnd w:id="27"/>
      <w:r>
        <w:t>Harvey, G. T. 1983. Environmental and genetic effects on mean egg weight in spruce budworm (lepidoptera: tortricidae). The Canadian Entomologist 115:1109–1117.</w:t>
      </w:r>
    </w:p>
    <w:p w14:paraId="63E100D2" w14:textId="77777777" w:rsidR="00DF7DF4" w:rsidRDefault="000E1EA2">
      <w:pPr>
        <w:pStyle w:val="Bibliography"/>
      </w:pPr>
      <w:bookmarkStart w:id="29" w:name="ref-honek1993"/>
      <w:bookmarkEnd w:id="28"/>
      <w:r>
        <w:t>Honek, A. 1993. Intraspecific variation in body size and fecundity in insects: A general relationship. Oikos 483–492.</w:t>
      </w:r>
    </w:p>
    <w:p w14:paraId="49E9611D" w14:textId="77777777" w:rsidR="00DF7DF4" w:rsidRDefault="000E1EA2">
      <w:pPr>
        <w:pStyle w:val="Bibliography"/>
      </w:pPr>
      <w:bookmarkStart w:id="30" w:name="ref-kelly2014"/>
      <w:bookmarkEnd w:id="29"/>
      <w:r>
        <w:lastRenderedPageBreak/>
        <w:t>Kelly, C. D., B. Tawes, and A. Worthington. 2014. Evaluating indices of body condition in two cricket species. Ecology and Evolution 4:4476–4487.</w:t>
      </w:r>
    </w:p>
    <w:p w14:paraId="193F73CC" w14:textId="77777777" w:rsidR="00DF7DF4" w:rsidRDefault="000E1EA2">
      <w:pPr>
        <w:pStyle w:val="Bibliography"/>
      </w:pPr>
      <w:bookmarkStart w:id="31" w:name="ref-koch2014"/>
      <w:bookmarkEnd w:id="30"/>
      <w:r>
        <w:t>Koch, L. K., and J. Meunier. 2014. Mother and offspring fitness in an insect with maternal care: Phenotypic trade-offs between egg number, egg mass and egg care. BMC Evol Biol 14:125.</w:t>
      </w:r>
    </w:p>
    <w:p w14:paraId="324A1FEB" w14:textId="77777777" w:rsidR="00DF7DF4" w:rsidRDefault="000E1EA2">
      <w:pPr>
        <w:pStyle w:val="Bibliography"/>
      </w:pPr>
      <w:bookmarkStart w:id="32" w:name="ref-kolliker2007"/>
      <w:bookmarkEnd w:id="31"/>
      <w:r>
        <w:t>Kölliker, M. 2007. Benefits and costs of earwig (forficula auricularia) family life. Behav Ecol Sociobiol 61:1489–1497.</w:t>
      </w:r>
    </w:p>
    <w:p w14:paraId="60B746CC" w14:textId="77777777" w:rsidR="00DF7DF4" w:rsidRDefault="000E1EA2">
      <w:pPr>
        <w:pStyle w:val="Bibliography"/>
      </w:pPr>
      <w:bookmarkStart w:id="33" w:name="ref-meunier2024"/>
      <w:bookmarkEnd w:id="32"/>
      <w:r>
        <w:t>Meunier, J. 2024. The biology and social life of earwigs (dermaptera). Annu Rev Entomol 69:259–276.</w:t>
      </w:r>
    </w:p>
    <w:p w14:paraId="7223E470" w14:textId="77777777" w:rsidR="00DF7DF4" w:rsidRDefault="000E1EA2">
      <w:pPr>
        <w:pStyle w:val="Bibliography"/>
      </w:pPr>
      <w:bookmarkStart w:id="34" w:name="ref-nelson2004"/>
      <w:bookmarkEnd w:id="33"/>
      <w:r>
        <w:t>Nelson, N. J., M. B. Thompson, S. Pledger, S. N. Keall, and C. H. Daugherty. 2004. Egg mass determines hatchling size, and incubation temperature influences post‐hatching growth, of tuatara sphenodon punctatus. J Zool 263:77–87.</w:t>
      </w:r>
    </w:p>
    <w:p w14:paraId="65FF7ED7" w14:textId="77777777" w:rsidR="00DF7DF4" w:rsidRDefault="000E1EA2">
      <w:pPr>
        <w:pStyle w:val="Bibliography"/>
      </w:pPr>
      <w:bookmarkStart w:id="35" w:name="ref-nilsson1993"/>
      <w:bookmarkEnd w:id="34"/>
      <w:r>
        <w:t>Nilsson, J. ‐Å., and E. Svensson. 1993. Causes and consequences of egg mass variation between and within blue tit clutches. J Zool 230:469–481.</w:t>
      </w:r>
    </w:p>
    <w:p w14:paraId="15B1FC5D" w14:textId="77777777" w:rsidR="00DF7DF4" w:rsidRDefault="000E1EA2">
      <w:pPr>
        <w:pStyle w:val="Bibliography"/>
      </w:pPr>
      <w:bookmarkStart w:id="36" w:name="ref-parker1982"/>
      <w:bookmarkEnd w:id="35"/>
      <w:r>
        <w:t>Parker, G. A. 1982. Why are there so many tiny sperm? Sperm competition and the maintenance of two sexes. J Theor Biol 96:281–294.</w:t>
      </w:r>
    </w:p>
    <w:p w14:paraId="682B31BB" w14:textId="77777777" w:rsidR="00DF7DF4" w:rsidRDefault="000E1EA2">
      <w:pPr>
        <w:pStyle w:val="Bibliography"/>
      </w:pPr>
      <w:bookmarkStart w:id="37" w:name="ref-peig2009"/>
      <w:bookmarkEnd w:id="36"/>
      <w:r>
        <w:t>Peig, J., and A. J. Green. 2009. New perspectives for estimating body condition from mass/length data: The scaled mass index as an alternative method. Oikos 118:1883–1891.</w:t>
      </w:r>
    </w:p>
    <w:p w14:paraId="5C1FCABE" w14:textId="77777777" w:rsidR="00DF7DF4" w:rsidRDefault="000E1EA2">
      <w:pPr>
        <w:pStyle w:val="Bibliography"/>
      </w:pPr>
      <w:bookmarkStart w:id="38" w:name="ref-peig2010"/>
      <w:bookmarkEnd w:id="37"/>
      <w:r>
        <w:t>Peig, J., and A. J. Green. 2010. The paradigm of body condition: A critical reappraisal of current methods based on mass and length. Funct Ecol 24:1323–1332.</w:t>
      </w:r>
    </w:p>
    <w:p w14:paraId="4AB1C5DF" w14:textId="77777777" w:rsidR="00DF7DF4" w:rsidRDefault="000E1EA2">
      <w:pPr>
        <w:pStyle w:val="Bibliography"/>
      </w:pPr>
      <w:bookmarkStart w:id="39" w:name="ref-r2013"/>
      <w:bookmarkEnd w:id="38"/>
      <w:r>
        <w:t>R Core Team. 2025. R: A language and environment for statistical computing. Vienna, Austria.</w:t>
      </w:r>
    </w:p>
    <w:p w14:paraId="2100D69A" w14:textId="77777777" w:rsidR="00DF7DF4" w:rsidRDefault="000E1EA2">
      <w:pPr>
        <w:pStyle w:val="Bibliography"/>
      </w:pPr>
      <w:bookmarkStart w:id="40" w:name="ref-reznick2000"/>
      <w:bookmarkEnd w:id="39"/>
      <w:r>
        <w:t>Reznick, D., L. Nunney, and A. Tessier. 2000. Big houses, big cars, superfleas and the costs of reproduction. Trends Ecol Evol 15:421–425.</w:t>
      </w:r>
    </w:p>
    <w:p w14:paraId="38359C93" w14:textId="77777777" w:rsidR="00DF7DF4" w:rsidRDefault="000E1EA2">
      <w:pPr>
        <w:pStyle w:val="Bibliography"/>
      </w:pPr>
      <w:bookmarkStart w:id="41" w:name="ref-roff1992a"/>
      <w:bookmarkEnd w:id="40"/>
      <w:r>
        <w:t>Roff, D. 1992. Evolution of Life Histories: Theory and Analysis. Chapman &amp; Hall, Inc., New York, NY.</w:t>
      </w:r>
    </w:p>
    <w:p w14:paraId="7BC489F1" w14:textId="77777777" w:rsidR="00DF7DF4" w:rsidRDefault="000E1EA2">
      <w:pPr>
        <w:pStyle w:val="Bibliography"/>
      </w:pPr>
      <w:bookmarkStart w:id="42" w:name="ref-schindelin2012"/>
      <w:bookmarkEnd w:id="41"/>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3DECDAE3" w14:textId="77777777" w:rsidR="00DF7DF4" w:rsidRDefault="000E1EA2">
      <w:pPr>
        <w:pStyle w:val="Bibliography"/>
      </w:pPr>
      <w:bookmarkStart w:id="43" w:name="ref-seko2006"/>
      <w:bookmarkEnd w:id="42"/>
      <w:r>
        <w:t>Seko, T., T. Miyatake, S. Fujioka, and F. Nakasuji. 2006. Genetic and environmental sources of egg size, fecundity and body size in the migrant skipper, parnara guttata guttata (lepidoptera: hesperiidae). Popul Ecol 48:225–232.</w:t>
      </w:r>
    </w:p>
    <w:p w14:paraId="4296055D" w14:textId="77777777" w:rsidR="00DF7DF4" w:rsidRDefault="000E1EA2">
      <w:pPr>
        <w:pStyle w:val="Bibliography"/>
      </w:pPr>
      <w:bookmarkStart w:id="44" w:name="ref-shine1978"/>
      <w:bookmarkEnd w:id="43"/>
      <w:r>
        <w:lastRenderedPageBreak/>
        <w:t>Shine, R. 1978. Propagule size and parental care: The “safe harbor” hypothesis. J Theor Biol 75:417–424.</w:t>
      </w:r>
    </w:p>
    <w:p w14:paraId="1058A4E5" w14:textId="77777777" w:rsidR="00DF7DF4" w:rsidRDefault="000E1EA2">
      <w:pPr>
        <w:pStyle w:val="Bibliography"/>
      </w:pPr>
      <w:bookmarkStart w:id="45" w:name="ref-simpson1951"/>
      <w:bookmarkEnd w:id="44"/>
      <w:r>
        <w:t>Simpson, E. H. 1951. The interpretation of interaction in contingency tables. Journal of the Royal Statistical Society: Series B (Methodological) 13:238–241.</w:t>
      </w:r>
    </w:p>
    <w:p w14:paraId="33BA8C15" w14:textId="77777777" w:rsidR="00DF7DF4" w:rsidRDefault="000E1EA2">
      <w:pPr>
        <w:pStyle w:val="Bibliography"/>
      </w:pPr>
      <w:bookmarkStart w:id="46" w:name="ref-slagsvold1984"/>
      <w:bookmarkEnd w:id="45"/>
      <w:r>
        <w:t>Slagsvold, T., J. Sandvik, G. Rofstad, Ö. Lorentsen, and M. Husby. 1984. On the adaptive value of intraclutch egg-size variation in birds. The Auk 101:685–697.</w:t>
      </w:r>
    </w:p>
    <w:p w14:paraId="169CBF86" w14:textId="77777777" w:rsidR="00DF7DF4" w:rsidRDefault="000E1EA2">
      <w:pPr>
        <w:pStyle w:val="Bibliography"/>
      </w:pPr>
      <w:bookmarkStart w:id="47" w:name="ref-smith1974"/>
      <w:bookmarkEnd w:id="46"/>
      <w:r>
        <w:t>Smith, C. C., and S. D. Fretwell. 1974. The optimal balance between size and number of offspring. Am Nat 108:499–506.</w:t>
      </w:r>
    </w:p>
    <w:p w14:paraId="166C2C82" w14:textId="77777777" w:rsidR="00DF7DF4" w:rsidRDefault="000E1EA2">
      <w:pPr>
        <w:pStyle w:val="Bibliography"/>
      </w:pPr>
      <w:bookmarkStart w:id="48" w:name="ref-staerkle2008"/>
      <w:bookmarkEnd w:id="47"/>
      <w:r>
        <w:t>Staerkle, M., and M. Kölliker. 2008. Maternal food regurgitation to nymphs in earwigs (</w:t>
      </w:r>
      <w:r>
        <w:rPr>
          <w:i/>
          <w:iCs/>
        </w:rPr>
        <w:t>forficula auricularia</w:t>
      </w:r>
      <w:r>
        <w:t>). Ethology 114:844–850.</w:t>
      </w:r>
    </w:p>
    <w:p w14:paraId="4EF42CE0" w14:textId="77777777" w:rsidR="00DF7DF4" w:rsidRDefault="000E1EA2">
      <w:pPr>
        <w:pStyle w:val="Bibliography"/>
      </w:pPr>
      <w:bookmarkStart w:id="49" w:name="ref-stearns1992"/>
      <w:bookmarkEnd w:id="48"/>
      <w:r>
        <w:t>Stearns, S. C. 1992. The Evolution of Life Histories. Oxford University Press.</w:t>
      </w:r>
    </w:p>
    <w:p w14:paraId="086A6951" w14:textId="77777777" w:rsidR="00DF7DF4" w:rsidRDefault="000E1EA2">
      <w:pPr>
        <w:pStyle w:val="Bibliography"/>
      </w:pPr>
      <w:bookmarkStart w:id="50" w:name="ref-stoffel2017"/>
      <w:bookmarkEnd w:id="49"/>
      <w:r>
        <w:t>Stoffel, M. A., S. Nakagawa, and H. Schielzeth. 2017. RptR: Repeatability estimation and variance decomposition by generalized linear mixed‐effects models. Methods Ecol Evol 8:1639–1644.</w:t>
      </w:r>
    </w:p>
    <w:p w14:paraId="7556F707" w14:textId="77777777" w:rsidR="00DF7DF4" w:rsidRDefault="000E1EA2">
      <w:pPr>
        <w:pStyle w:val="Bibliography"/>
      </w:pPr>
      <w:bookmarkStart w:id="51" w:name="ref-torres-vila2012"/>
      <w:bookmarkEnd w:id="50"/>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244FC6FF" w14:textId="77777777" w:rsidR="00DF7DF4" w:rsidRDefault="000E1EA2">
      <w:pPr>
        <w:pStyle w:val="Bibliography"/>
      </w:pPr>
      <w:bookmarkStart w:id="52" w:name="ref-tourneur2018"/>
      <w:bookmarkEnd w:id="51"/>
      <w:r>
        <w:t xml:space="preserve">Tourneur, J.-C. 2018. Factors affecting the egg-laying pattern of </w:t>
      </w:r>
      <w:r>
        <w:rPr>
          <w:i/>
          <w:iCs/>
        </w:rPr>
        <w:t>forficula auricularia</w:t>
      </w:r>
      <w:r>
        <w:t xml:space="preserve"> </w:t>
      </w:r>
      <w:r>
        <w:t>(dermaptera: Forficulidae) in three climatologically different zones of north america. The Canadian Entomologist 150:511–519.</w:t>
      </w:r>
    </w:p>
    <w:p w14:paraId="2391FD6E" w14:textId="77777777" w:rsidR="00DF7DF4" w:rsidRDefault="000E1EA2">
      <w:pPr>
        <w:pStyle w:val="Bibliography"/>
      </w:pPr>
      <w:bookmarkStart w:id="53" w:name="ref-tourneur1992"/>
      <w:bookmarkEnd w:id="52"/>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32B421CE" w14:textId="77777777" w:rsidR="00DF7DF4" w:rsidRDefault="000E1EA2">
      <w:pPr>
        <w:pStyle w:val="Bibliography"/>
      </w:pPr>
      <w:bookmarkStart w:id="54" w:name="ref-vannoordwijk1986"/>
      <w:bookmarkEnd w:id="53"/>
      <w:r>
        <w:t>Van Noordwijk, A. J., and G. de Jong. 1986. Acquisition and allocation of resources: Their influence on variation in life history tactics. Am Nat 128:137–142.</w:t>
      </w:r>
    </w:p>
    <w:p w14:paraId="4381A232" w14:textId="77777777" w:rsidR="00DF7DF4" w:rsidRDefault="000E1EA2">
      <w:pPr>
        <w:pStyle w:val="Bibliography"/>
      </w:pPr>
      <w:bookmarkStart w:id="55" w:name="ref-vehtari2017"/>
      <w:bookmarkEnd w:id="54"/>
      <w:r>
        <w:t>Vehtari, A., A. Gelman, and J. Gabry. 2017. Practical Bayesian model evaluation using leave-one-out cross-validation and WAIC. Statistics and Computing 27:1413–1432.</w:t>
      </w:r>
    </w:p>
    <w:p w14:paraId="5F382125" w14:textId="77777777" w:rsidR="00DF7DF4" w:rsidRDefault="000E1EA2">
      <w:pPr>
        <w:pStyle w:val="Bibliography"/>
      </w:pPr>
      <w:bookmarkStart w:id="56" w:name="ref-williams1994"/>
      <w:bookmarkEnd w:id="55"/>
      <w:r>
        <w:t>Williams, T. D. 1994. Intraspecific variation in egg size and egg composition in birds: Effects on offspring fitness. Biol Rev Camb Philos Soc 69:35–59.</w:t>
      </w:r>
    </w:p>
    <w:p w14:paraId="075C5F23" w14:textId="77777777" w:rsidR="00DF7DF4" w:rsidRDefault="000E1EA2">
      <w:pPr>
        <w:pStyle w:val="Bibliography"/>
      </w:pPr>
      <w:bookmarkStart w:id="57" w:name="ref-winkler1987"/>
      <w:bookmarkEnd w:id="56"/>
      <w:r>
        <w:t>Winkler, D. W., and K. Wallin. 1987. Offspring size and number: A life history model linking effort per offspring and total effort. Am Nat 129:708–720.</w:t>
      </w:r>
    </w:p>
    <w:p w14:paraId="7DBA7B42" w14:textId="77777777" w:rsidR="00DF7DF4" w:rsidRDefault="000E1EA2">
      <w:pPr>
        <w:pStyle w:val="Bibliography"/>
      </w:pPr>
      <w:bookmarkStart w:id="58" w:name="ref-yanagi2006"/>
      <w:bookmarkEnd w:id="57"/>
      <w:r>
        <w:lastRenderedPageBreak/>
        <w:t>Yanagi, S., T. Oikawa, and T. Miyatake. 2006. Heritability and genetic correlation estimates for egg size and number in callosobruchus chinensis (coleoptera: bruchidae). Ann Entomol Soc Am 99:364–368.</w:t>
      </w:r>
    </w:p>
    <w:p w14:paraId="76177FFF" w14:textId="77777777" w:rsidR="00DF7DF4" w:rsidRDefault="000E1EA2">
      <w:pPr>
        <w:pStyle w:val="Bibliography"/>
      </w:pPr>
      <w:bookmarkStart w:id="59" w:name="ref-yosef2008"/>
      <w:bookmarkEnd w:id="58"/>
      <w:r>
        <w:t>Yosef, R., and P. Zduniak. 2008. Variation in clutch size, egg size variability and reproductive output in the desert finch (rhodospiza obsoleta). J Arid Environ 72:1631–1635.</w:t>
      </w:r>
    </w:p>
    <w:bookmarkEnd w:id="15"/>
    <w:bookmarkEnd w:id="59"/>
    <w:p w14:paraId="7E963E90" w14:textId="77777777" w:rsidR="00DF7DF4" w:rsidRDefault="000E1EA2">
      <w:pPr>
        <w:pStyle w:val="BodyText"/>
      </w:pPr>
      <w:r>
        <w:t>—– end of section:</w:t>
      </w:r>
    </w:p>
    <w:p w14:paraId="64EB0DED" w14:textId="77777777" w:rsidR="00DF7DF4" w:rsidRDefault="000E1EA2">
      <w:pPr>
        <w:pStyle w:val="BodyText"/>
      </w:pPr>
      <w:r>
        <w:t>##Figures</w:t>
      </w:r>
    </w:p>
    <w:tbl>
      <w:tblPr>
        <w:tblStyle w:val="Table"/>
        <w:tblW w:w="5000" w:type="pct"/>
        <w:tblLayout w:type="fixed"/>
        <w:tblLook w:val="0000" w:firstRow="0" w:lastRow="0" w:firstColumn="0" w:lastColumn="0" w:noHBand="0" w:noVBand="0"/>
      </w:tblPr>
      <w:tblGrid>
        <w:gridCol w:w="9620"/>
      </w:tblGrid>
      <w:tr w:rsidR="00DF7DF4" w14:paraId="4A79A801" w14:textId="77777777">
        <w:tc>
          <w:tcPr>
            <w:tcW w:w="7920" w:type="dxa"/>
          </w:tcPr>
          <w:p w14:paraId="2882216E" w14:textId="77777777" w:rsidR="00DF7DF4" w:rsidRDefault="000E1EA2">
            <w:pPr>
              <w:pStyle w:val="Compact"/>
              <w:jc w:val="center"/>
            </w:pPr>
            <w:bookmarkStart w:id="60" w:name="fig-one"/>
            <w:r>
              <w:rPr>
                <w:noProof/>
              </w:rPr>
              <w:drawing>
                <wp:inline distT="0" distB="0" distL="0" distR="0" wp14:anchorId="07735D10" wp14:editId="6FC5DA6B">
                  <wp:extent cx="3810000" cy="25400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234934C1" w14:textId="77777777" w:rsidR="00DF7DF4" w:rsidRDefault="000E1EA2">
            <w:pPr>
              <w:pStyle w:val="ImageCaption"/>
              <w:spacing w:before="200"/>
            </w:pPr>
            <w:r>
              <w:t>Figure 1: Mean egg perimeter (mm) plotted against clutch size for the first (salmon) and second (blue) clutches of n = 42 female European earwigs (</w:t>
            </w:r>
            <w:r>
              <w:rPr>
                <w:i/>
                <w:iCs/>
              </w:rPr>
              <w:t>F. auricularia</w:t>
            </w:r>
            <w:r>
              <w:t>). Data are raw values.</w:t>
            </w:r>
          </w:p>
        </w:tc>
        <w:bookmarkEnd w:id="60"/>
      </w:tr>
    </w:tbl>
    <w:p w14:paraId="382F0AAD" w14:textId="77777777" w:rsidR="00DF7DF4" w:rsidRDefault="000E1EA2">
      <w:pPr>
        <w:pStyle w:val="BodyText"/>
      </w:pPr>
      <w:r>
        <w:t xml:space="preserve"> </w:t>
      </w:r>
    </w:p>
    <w:tbl>
      <w:tblPr>
        <w:tblStyle w:val="Table"/>
        <w:tblW w:w="5000" w:type="pct"/>
        <w:tblLayout w:type="fixed"/>
        <w:tblLook w:val="0000" w:firstRow="0" w:lastRow="0" w:firstColumn="0" w:lastColumn="0" w:noHBand="0" w:noVBand="0"/>
      </w:tblPr>
      <w:tblGrid>
        <w:gridCol w:w="9620"/>
      </w:tblGrid>
      <w:tr w:rsidR="00DF7DF4" w14:paraId="4D335B4E" w14:textId="77777777">
        <w:tc>
          <w:tcPr>
            <w:tcW w:w="7920" w:type="dxa"/>
          </w:tcPr>
          <w:p w14:paraId="7FB9604B" w14:textId="77777777" w:rsidR="00DF7DF4" w:rsidRDefault="000E1EA2">
            <w:pPr>
              <w:pStyle w:val="Compact"/>
              <w:jc w:val="center"/>
            </w:pPr>
            <w:bookmarkStart w:id="61" w:name="fig-two"/>
            <w:r>
              <w:rPr>
                <w:noProof/>
              </w:rPr>
              <w:lastRenderedPageBreak/>
              <w:drawing>
                <wp:inline distT="0" distB="0" distL="0" distR="0" wp14:anchorId="14593023" wp14:editId="3C986C88">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05B00819" w14:textId="77777777" w:rsidR="00DF7DF4" w:rsidRDefault="000E1EA2">
            <w:pPr>
              <w:pStyle w:val="ImageCaption"/>
              <w:spacing w:before="200"/>
            </w:pPr>
            <w:r>
              <w:t>Figure 2: (a) Among and (b) within-female egg size variation in the first and second clutches of n = 42 female European earwigs (</w:t>
            </w:r>
            <w:r>
              <w:rPr>
                <w:i/>
                <w:iCs/>
              </w:rPr>
              <w:t>F. auricularia</w:t>
            </w:r>
            <w:r>
              <w:t>).</w:t>
            </w:r>
          </w:p>
        </w:tc>
        <w:bookmarkEnd w:id="61"/>
      </w:tr>
      <w:bookmarkEnd w:id="13"/>
    </w:tbl>
    <w:p w14:paraId="4642B054" w14:textId="77777777" w:rsidR="000E1EA2" w:rsidRDefault="000E1EA2"/>
    <w:sectPr w:rsidR="000E1EA2"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EA6B2" w14:textId="77777777" w:rsidR="000E1EA2" w:rsidRDefault="000E1EA2">
      <w:pPr>
        <w:spacing w:after="0"/>
      </w:pPr>
      <w:r>
        <w:separator/>
      </w:r>
    </w:p>
  </w:endnote>
  <w:endnote w:type="continuationSeparator" w:id="0">
    <w:p w14:paraId="591BBABD" w14:textId="77777777" w:rsidR="000E1EA2" w:rsidRDefault="000E1E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4F61EDAF"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E8366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3E94B1A2"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96F7482"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5B8FC" w14:textId="77777777" w:rsidR="000E1EA2" w:rsidRDefault="000E1EA2">
      <w:pPr>
        <w:spacing w:after="0"/>
      </w:pPr>
      <w:r>
        <w:separator/>
      </w:r>
    </w:p>
  </w:footnote>
  <w:footnote w:type="continuationSeparator" w:id="0">
    <w:p w14:paraId="088E64D1" w14:textId="77777777" w:rsidR="000E1EA2" w:rsidRDefault="000E1EA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21E0EC8"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29ED37"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6EAB4" w14:textId="77777777" w:rsidR="00D100A8" w:rsidRDefault="00D100A8" w:rsidP="00F25F6C">
    <w:pPr>
      <w:pStyle w:val="Header"/>
      <w:framePr w:wrap="none" w:vAnchor="text" w:hAnchor="margin" w:xAlign="right" w:y="1"/>
      <w:rPr>
        <w:rStyle w:val="PageNumber"/>
      </w:rPr>
    </w:pPr>
  </w:p>
  <w:p w14:paraId="7716BADA"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D9CB2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808064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1EA2"/>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4416F"/>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DF7DF4"/>
    <w:rsid w:val="00E129FB"/>
    <w:rsid w:val="00E315A3"/>
    <w:rsid w:val="00E377EC"/>
    <w:rsid w:val="00E42ECF"/>
    <w:rsid w:val="00E97606"/>
    <w:rsid w:val="00EC40EF"/>
    <w:rsid w:val="00ED4ADB"/>
    <w:rsid w:val="00EE03BB"/>
    <w:rsid w:val="00EE114C"/>
    <w:rsid w:val="00EE14C9"/>
    <w:rsid w:val="00EE45AD"/>
    <w:rsid w:val="00EE6CB3"/>
    <w:rsid w:val="00F04470"/>
    <w:rsid w:val="00F352EB"/>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BA1C9"/>
  <w15:docId w15:val="{65CF424B-3C60-3B4C-AC09-9E08EB285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20</Pages>
  <Words>4984</Words>
  <Characters>27497</Characters>
  <Application>Microsoft Office Word</Application>
  <DocSecurity>0</DocSecurity>
  <Lines>400</Lines>
  <Paragraphs>94</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32350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2</cp:revision>
  <dcterms:created xsi:type="dcterms:W3CDTF">2026-02-17T14:47:00Z</dcterms:created>
  <dcterms:modified xsi:type="dcterms:W3CDTF">2026-02-17T14:50:00Z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